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A5" w:rsidRPr="0079632A" w:rsidRDefault="001A5EA5" w:rsidP="00FB1808">
      <w:pPr>
        <w:pStyle w:val="Textoindependiente"/>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ab/>
      </w:r>
    </w:p>
    <w:p w:rsidR="00FB2CFF" w:rsidRPr="0079632A" w:rsidRDefault="00B90748" w:rsidP="00FB1808">
      <w:pPr>
        <w:pStyle w:val="Textoindependiente"/>
        <w:spacing w:line="360" w:lineRule="auto"/>
        <w:jc w:val="both"/>
        <w:rPr>
          <w:rFonts w:asciiTheme="minorHAnsi" w:hAnsiTheme="minorHAnsi" w:cstheme="minorHAnsi"/>
          <w:color w:val="000000" w:themeColor="text1"/>
          <w:sz w:val="20"/>
        </w:rPr>
      </w:pPr>
      <w:r w:rsidRPr="0079632A">
        <w:rPr>
          <w:rFonts w:asciiTheme="minorHAnsi" w:hAnsiTheme="minorHAnsi" w:cstheme="minorHAnsi"/>
          <w:b/>
          <w:color w:val="000000" w:themeColor="text1"/>
          <w:sz w:val="20"/>
          <w:u w:val="single"/>
        </w:rPr>
        <w:t xml:space="preserve">PUBLICIDAD EXPEDIENTES </w:t>
      </w:r>
      <w:r w:rsidR="000A25ED" w:rsidRPr="0079632A">
        <w:rPr>
          <w:rFonts w:asciiTheme="minorHAnsi" w:hAnsiTheme="minorHAnsi" w:cstheme="minorHAnsi"/>
          <w:b/>
          <w:color w:val="000000" w:themeColor="text1"/>
          <w:sz w:val="20"/>
          <w:u w:val="single"/>
        </w:rPr>
        <w:t>DE REQUERIMIENTO ADMNISTRATIVO</w:t>
      </w:r>
    </w:p>
    <w:p w:rsidR="0079632A" w:rsidRDefault="0079632A" w:rsidP="0079632A">
      <w:pPr>
        <w:pStyle w:val="Ttulo1"/>
        <w:spacing w:line="360" w:lineRule="auto"/>
        <w:jc w:val="left"/>
        <w:rPr>
          <w:rFonts w:asciiTheme="minorHAnsi" w:hAnsiTheme="minorHAnsi" w:cstheme="minorHAnsi"/>
          <w:color w:val="000000" w:themeColor="text1"/>
          <w:sz w:val="20"/>
        </w:rPr>
      </w:pPr>
      <w:bookmarkStart w:id="0" w:name="bkPaperTitl"/>
      <w:bookmarkStart w:id="1" w:name="bkAuthor"/>
      <w:bookmarkEnd w:id="0"/>
      <w:bookmarkEnd w:id="1"/>
    </w:p>
    <w:p w:rsidR="00FB2CFF" w:rsidRPr="0079632A" w:rsidRDefault="0079632A" w:rsidP="0079632A">
      <w:pPr>
        <w:pStyle w:val="Ttulo1"/>
        <w:spacing w:line="360" w:lineRule="auto"/>
        <w:ind w:firstLine="540"/>
        <w:jc w:val="left"/>
        <w:rPr>
          <w:rFonts w:asciiTheme="minorHAnsi" w:hAnsiTheme="minorHAnsi" w:cstheme="minorHAnsi"/>
          <w:color w:val="000000" w:themeColor="text1"/>
          <w:sz w:val="20"/>
        </w:rPr>
      </w:pPr>
      <w:r>
        <w:rPr>
          <w:rFonts w:asciiTheme="minorHAnsi" w:hAnsiTheme="minorHAnsi" w:cstheme="minorHAnsi"/>
          <w:b/>
          <w:color w:val="000000" w:themeColor="text1"/>
          <w:sz w:val="20"/>
          <w:u w:val="single"/>
        </w:rPr>
        <w:t xml:space="preserve">Autor: </w:t>
      </w:r>
      <w:r w:rsidR="00B90748" w:rsidRPr="0079632A">
        <w:rPr>
          <w:rFonts w:asciiTheme="minorHAnsi" w:hAnsiTheme="minorHAnsi" w:cstheme="minorHAnsi"/>
          <w:color w:val="000000" w:themeColor="text1"/>
          <w:sz w:val="20"/>
        </w:rPr>
        <w:t>Claudio Alberto Morales Borquez</w:t>
      </w:r>
    </w:p>
    <w:p w:rsidR="00694632" w:rsidRPr="0079632A" w:rsidRDefault="00694632" w:rsidP="00FB1808">
      <w:pPr>
        <w:pStyle w:val="Textoindependiente"/>
        <w:spacing w:line="360" w:lineRule="auto"/>
        <w:rPr>
          <w:rFonts w:asciiTheme="minorHAnsi" w:hAnsiTheme="minorHAnsi" w:cstheme="minorHAnsi"/>
          <w:sz w:val="20"/>
        </w:rPr>
      </w:pPr>
      <w:bookmarkStart w:id="2" w:name="bkAuthorAffil"/>
      <w:bookmarkEnd w:id="2"/>
    </w:p>
    <w:p w:rsidR="0079632A" w:rsidRDefault="0079632A" w:rsidP="0079632A">
      <w:pPr>
        <w:pStyle w:val="Ttulo1"/>
        <w:spacing w:line="360" w:lineRule="auto"/>
        <w:ind w:firstLine="708"/>
        <w:jc w:val="both"/>
        <w:rPr>
          <w:rFonts w:asciiTheme="minorHAnsi" w:hAnsiTheme="minorHAnsi" w:cstheme="minorHAnsi"/>
          <w:color w:val="000000" w:themeColor="text1"/>
          <w:sz w:val="20"/>
        </w:rPr>
      </w:pPr>
      <w:r>
        <w:rPr>
          <w:rFonts w:asciiTheme="minorHAnsi" w:hAnsiTheme="minorHAnsi" w:cstheme="minorHAnsi"/>
          <w:b/>
          <w:color w:val="000000" w:themeColor="text1"/>
          <w:sz w:val="20"/>
        </w:rPr>
        <w:t>RESUMEN</w:t>
      </w:r>
      <w:r w:rsidR="000B7843" w:rsidRPr="0079632A">
        <w:rPr>
          <w:rFonts w:asciiTheme="minorHAnsi" w:hAnsiTheme="minorHAnsi" w:cstheme="minorHAnsi"/>
          <w:color w:val="000000" w:themeColor="text1"/>
          <w:sz w:val="20"/>
        </w:rPr>
        <w:t xml:space="preserve">. </w:t>
      </w:r>
      <w:r w:rsidR="00A657FB" w:rsidRPr="0079632A">
        <w:rPr>
          <w:rFonts w:asciiTheme="minorHAnsi" w:hAnsiTheme="minorHAnsi" w:cstheme="minorHAnsi"/>
          <w:color w:val="000000" w:themeColor="text1"/>
          <w:sz w:val="20"/>
        </w:rPr>
        <w:t>L</w:t>
      </w:r>
      <w:r w:rsidR="004A127E" w:rsidRPr="0079632A">
        <w:rPr>
          <w:rFonts w:asciiTheme="minorHAnsi" w:hAnsiTheme="minorHAnsi" w:cstheme="minorHAnsi"/>
          <w:color w:val="000000" w:themeColor="text1"/>
          <w:sz w:val="20"/>
        </w:rPr>
        <w:t xml:space="preserve">a </w:t>
      </w:r>
      <w:r w:rsidR="000B7843" w:rsidRPr="0079632A">
        <w:rPr>
          <w:rFonts w:asciiTheme="minorHAnsi" w:hAnsiTheme="minorHAnsi" w:cstheme="minorHAnsi"/>
          <w:color w:val="000000" w:themeColor="text1"/>
          <w:sz w:val="20"/>
        </w:rPr>
        <w:t>T</w:t>
      </w:r>
      <w:r w:rsidR="004A127E" w:rsidRPr="0079632A">
        <w:rPr>
          <w:rFonts w:asciiTheme="minorHAnsi" w:hAnsiTheme="minorHAnsi" w:cstheme="minorHAnsi"/>
          <w:color w:val="000000" w:themeColor="text1"/>
          <w:sz w:val="20"/>
        </w:rPr>
        <w:t xml:space="preserve">esorería </w:t>
      </w:r>
      <w:r w:rsidR="000B7843" w:rsidRPr="0079632A">
        <w:rPr>
          <w:rFonts w:asciiTheme="minorHAnsi" w:hAnsiTheme="minorHAnsi" w:cstheme="minorHAnsi"/>
          <w:color w:val="000000" w:themeColor="text1"/>
          <w:sz w:val="20"/>
        </w:rPr>
        <w:t>G</w:t>
      </w:r>
      <w:r w:rsidR="004A127E" w:rsidRPr="0079632A">
        <w:rPr>
          <w:rFonts w:asciiTheme="minorHAnsi" w:hAnsiTheme="minorHAnsi" w:cstheme="minorHAnsi"/>
          <w:color w:val="000000" w:themeColor="text1"/>
          <w:sz w:val="20"/>
        </w:rPr>
        <w:t xml:space="preserve">eneral de la Republica </w:t>
      </w:r>
      <w:r w:rsidR="005D7936" w:rsidRPr="0079632A">
        <w:rPr>
          <w:rFonts w:asciiTheme="minorHAnsi" w:hAnsiTheme="minorHAnsi" w:cstheme="minorHAnsi"/>
          <w:color w:val="000000" w:themeColor="text1"/>
          <w:sz w:val="20"/>
        </w:rPr>
        <w:t xml:space="preserve">sostiene </w:t>
      </w:r>
      <w:r w:rsidR="004A127E" w:rsidRPr="0079632A">
        <w:rPr>
          <w:rFonts w:asciiTheme="minorHAnsi" w:hAnsiTheme="minorHAnsi" w:cstheme="minorHAnsi"/>
          <w:color w:val="000000" w:themeColor="text1"/>
          <w:sz w:val="20"/>
        </w:rPr>
        <w:t xml:space="preserve">que </w:t>
      </w:r>
      <w:r w:rsidR="000B7843" w:rsidRPr="0079632A">
        <w:rPr>
          <w:rFonts w:asciiTheme="minorHAnsi" w:hAnsiTheme="minorHAnsi" w:cstheme="minorHAnsi"/>
          <w:color w:val="000000" w:themeColor="text1"/>
          <w:sz w:val="20"/>
        </w:rPr>
        <w:t xml:space="preserve">los </w:t>
      </w:r>
      <w:r w:rsidR="004A127E" w:rsidRPr="0079632A">
        <w:rPr>
          <w:rFonts w:asciiTheme="minorHAnsi" w:hAnsiTheme="minorHAnsi" w:cstheme="minorHAnsi"/>
          <w:color w:val="000000" w:themeColor="text1"/>
          <w:sz w:val="20"/>
        </w:rPr>
        <w:t>expediente</w:t>
      </w:r>
      <w:r w:rsidR="000B7843" w:rsidRPr="0079632A">
        <w:rPr>
          <w:rFonts w:asciiTheme="minorHAnsi" w:hAnsiTheme="minorHAnsi" w:cstheme="minorHAnsi"/>
          <w:color w:val="000000" w:themeColor="text1"/>
          <w:sz w:val="20"/>
        </w:rPr>
        <w:t>s</w:t>
      </w:r>
      <w:r w:rsidR="004A127E" w:rsidRPr="0079632A">
        <w:rPr>
          <w:rFonts w:asciiTheme="minorHAnsi" w:hAnsiTheme="minorHAnsi" w:cstheme="minorHAnsi"/>
          <w:color w:val="000000" w:themeColor="text1"/>
          <w:sz w:val="20"/>
        </w:rPr>
        <w:t xml:space="preserve"> </w:t>
      </w:r>
      <w:r w:rsidR="000B7843" w:rsidRPr="0079632A">
        <w:rPr>
          <w:rFonts w:asciiTheme="minorHAnsi" w:hAnsiTheme="minorHAnsi" w:cstheme="minorHAnsi"/>
          <w:color w:val="000000" w:themeColor="text1"/>
          <w:sz w:val="20"/>
        </w:rPr>
        <w:t xml:space="preserve">de requerimientos </w:t>
      </w:r>
      <w:r w:rsidR="004A127E" w:rsidRPr="0079632A">
        <w:rPr>
          <w:rFonts w:asciiTheme="minorHAnsi" w:hAnsiTheme="minorHAnsi" w:cstheme="minorHAnsi"/>
          <w:color w:val="000000" w:themeColor="text1"/>
          <w:sz w:val="20"/>
        </w:rPr>
        <w:t>administrativo</w:t>
      </w:r>
      <w:r w:rsidR="000B7843" w:rsidRPr="0079632A">
        <w:rPr>
          <w:rFonts w:asciiTheme="minorHAnsi" w:hAnsiTheme="minorHAnsi" w:cstheme="minorHAnsi"/>
          <w:color w:val="000000" w:themeColor="text1"/>
          <w:sz w:val="20"/>
        </w:rPr>
        <w:t>s</w:t>
      </w:r>
      <w:r w:rsidR="004A127E" w:rsidRPr="0079632A">
        <w:rPr>
          <w:rFonts w:asciiTheme="minorHAnsi" w:hAnsiTheme="minorHAnsi" w:cstheme="minorHAnsi"/>
          <w:color w:val="000000" w:themeColor="text1"/>
          <w:sz w:val="20"/>
        </w:rPr>
        <w:t xml:space="preserve"> </w:t>
      </w:r>
      <w:r w:rsidR="000B7843" w:rsidRPr="0079632A">
        <w:rPr>
          <w:rFonts w:asciiTheme="minorHAnsi" w:hAnsiTheme="minorHAnsi" w:cstheme="minorHAnsi"/>
          <w:color w:val="000000" w:themeColor="text1"/>
          <w:sz w:val="20"/>
        </w:rPr>
        <w:t>se encuentran sujetos a</w:t>
      </w:r>
      <w:r w:rsidR="008A2898" w:rsidRPr="0079632A">
        <w:rPr>
          <w:rFonts w:asciiTheme="minorHAnsi" w:hAnsiTheme="minorHAnsi" w:cstheme="minorHAnsi"/>
          <w:color w:val="000000" w:themeColor="text1"/>
          <w:sz w:val="20"/>
        </w:rPr>
        <w:t>l</w:t>
      </w:r>
      <w:r w:rsidR="000B7843" w:rsidRPr="0079632A">
        <w:rPr>
          <w:rFonts w:asciiTheme="minorHAnsi" w:hAnsiTheme="minorHAnsi" w:cstheme="minorHAnsi"/>
          <w:color w:val="000000" w:themeColor="text1"/>
          <w:sz w:val="20"/>
        </w:rPr>
        <w:t xml:space="preserve"> </w:t>
      </w:r>
      <w:r w:rsidR="004A127E" w:rsidRPr="0079632A">
        <w:rPr>
          <w:rFonts w:asciiTheme="minorHAnsi" w:hAnsiTheme="minorHAnsi" w:cstheme="minorHAnsi"/>
          <w:color w:val="000000" w:themeColor="text1"/>
          <w:sz w:val="20"/>
        </w:rPr>
        <w:t>secreto tributario del artículo 35 del código tributario</w:t>
      </w:r>
      <w:r w:rsidR="000E188C" w:rsidRPr="0079632A">
        <w:rPr>
          <w:rFonts w:asciiTheme="minorHAnsi" w:hAnsiTheme="minorHAnsi" w:cstheme="minorHAnsi"/>
          <w:color w:val="000000" w:themeColor="text1"/>
          <w:sz w:val="20"/>
        </w:rPr>
        <w:t xml:space="preserve"> y a la reserva del artículo 175 inciso 3 del código tributario</w:t>
      </w:r>
      <w:r w:rsidR="004A127E" w:rsidRPr="0079632A">
        <w:rPr>
          <w:rFonts w:asciiTheme="minorHAnsi" w:hAnsiTheme="minorHAnsi" w:cstheme="minorHAnsi"/>
          <w:color w:val="000000" w:themeColor="text1"/>
          <w:sz w:val="20"/>
        </w:rPr>
        <w:t xml:space="preserve">, exigiendo </w:t>
      </w:r>
      <w:r w:rsidR="000B7843" w:rsidRPr="0079632A">
        <w:rPr>
          <w:rFonts w:asciiTheme="minorHAnsi" w:hAnsiTheme="minorHAnsi" w:cstheme="minorHAnsi"/>
          <w:color w:val="000000" w:themeColor="text1"/>
          <w:sz w:val="20"/>
        </w:rPr>
        <w:t xml:space="preserve">en consecuencia </w:t>
      </w:r>
      <w:r w:rsidR="004A127E" w:rsidRPr="0079632A">
        <w:rPr>
          <w:rFonts w:asciiTheme="minorHAnsi" w:hAnsiTheme="minorHAnsi" w:cstheme="minorHAnsi"/>
          <w:color w:val="000000" w:themeColor="text1"/>
          <w:sz w:val="20"/>
        </w:rPr>
        <w:t>un poder especial para acceder a los expedientes</w:t>
      </w:r>
      <w:r w:rsidR="000B7843" w:rsidRPr="0079632A">
        <w:rPr>
          <w:rFonts w:asciiTheme="minorHAnsi" w:hAnsiTheme="minorHAnsi" w:cstheme="minorHAnsi"/>
          <w:color w:val="000000" w:themeColor="text1"/>
          <w:sz w:val="20"/>
        </w:rPr>
        <w:t xml:space="preserve"> a quienes no sean deudores</w:t>
      </w:r>
      <w:r w:rsidR="004A127E" w:rsidRPr="0079632A">
        <w:rPr>
          <w:rFonts w:asciiTheme="minorHAnsi" w:hAnsiTheme="minorHAnsi" w:cstheme="minorHAnsi"/>
          <w:color w:val="000000" w:themeColor="text1"/>
          <w:sz w:val="20"/>
        </w:rPr>
        <w:t xml:space="preserve">.  </w:t>
      </w:r>
    </w:p>
    <w:p w:rsidR="0079632A" w:rsidRDefault="0079632A" w:rsidP="0079632A">
      <w:pPr>
        <w:pStyle w:val="Ttulo1"/>
        <w:spacing w:line="360" w:lineRule="auto"/>
        <w:ind w:firstLine="708"/>
        <w:jc w:val="both"/>
        <w:rPr>
          <w:rFonts w:asciiTheme="minorHAnsi" w:hAnsiTheme="minorHAnsi" w:cstheme="minorHAnsi"/>
          <w:color w:val="000000" w:themeColor="text1"/>
          <w:sz w:val="20"/>
        </w:rPr>
      </w:pPr>
    </w:p>
    <w:p w:rsidR="004A127E" w:rsidRPr="0079632A" w:rsidRDefault="00562404" w:rsidP="0079632A">
      <w:pPr>
        <w:pStyle w:val="Ttulo1"/>
        <w:spacing w:line="360" w:lineRule="auto"/>
        <w:ind w:firstLine="708"/>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 xml:space="preserve">El presente tendrá por objeto demostrar que los expedientes de requerimiento administrativos tienen el carácter de públicos desde el momento de la notificación de la demanda, de manera que </w:t>
      </w:r>
      <w:r w:rsidR="004A127E" w:rsidRPr="0079632A">
        <w:rPr>
          <w:rFonts w:asciiTheme="minorHAnsi" w:hAnsiTheme="minorHAnsi" w:cstheme="minorHAnsi"/>
          <w:color w:val="000000" w:themeColor="text1"/>
          <w:sz w:val="20"/>
        </w:rPr>
        <w:t xml:space="preserve">tal práctica del Servicio de Tesorería no se ajusta </w:t>
      </w:r>
      <w:r w:rsidR="00A657FB" w:rsidRPr="0079632A">
        <w:rPr>
          <w:rFonts w:asciiTheme="minorHAnsi" w:hAnsiTheme="minorHAnsi" w:cstheme="minorHAnsi"/>
          <w:color w:val="000000" w:themeColor="text1"/>
          <w:sz w:val="20"/>
        </w:rPr>
        <w:t>a derecho</w:t>
      </w:r>
      <w:r w:rsidR="004A127E" w:rsidRPr="0079632A">
        <w:rPr>
          <w:rFonts w:asciiTheme="minorHAnsi" w:hAnsiTheme="minorHAnsi" w:cstheme="minorHAnsi"/>
          <w:color w:val="000000" w:themeColor="text1"/>
          <w:sz w:val="20"/>
        </w:rPr>
        <w:t xml:space="preserve">. Los expedientes </w:t>
      </w:r>
      <w:r w:rsidR="005D7936" w:rsidRPr="0079632A">
        <w:rPr>
          <w:rFonts w:asciiTheme="minorHAnsi" w:hAnsiTheme="minorHAnsi" w:cstheme="minorHAnsi"/>
          <w:color w:val="000000" w:themeColor="text1"/>
          <w:sz w:val="20"/>
        </w:rPr>
        <w:t xml:space="preserve">de requerimientos </w:t>
      </w:r>
      <w:r w:rsidR="004A127E" w:rsidRPr="0079632A">
        <w:rPr>
          <w:rFonts w:asciiTheme="minorHAnsi" w:hAnsiTheme="minorHAnsi" w:cstheme="minorHAnsi"/>
          <w:color w:val="000000" w:themeColor="text1"/>
          <w:sz w:val="20"/>
        </w:rPr>
        <w:t>administrativos constituyen documentos públicos que deben ser puestos a disposición de cualquiera que los solicite sin necesidad de mandato ni expresión de causa.</w:t>
      </w:r>
    </w:p>
    <w:p w:rsidR="008948EF" w:rsidRPr="0079632A" w:rsidRDefault="008948EF" w:rsidP="00FB1808">
      <w:pPr>
        <w:pStyle w:val="Ttulo1"/>
        <w:spacing w:line="360" w:lineRule="auto"/>
        <w:jc w:val="both"/>
        <w:rPr>
          <w:rFonts w:asciiTheme="minorHAnsi" w:hAnsiTheme="minorHAnsi" w:cstheme="minorHAnsi"/>
          <w:b/>
          <w:color w:val="000000" w:themeColor="text1"/>
          <w:sz w:val="20"/>
          <w:u w:val="single"/>
        </w:rPr>
      </w:pPr>
    </w:p>
    <w:p w:rsidR="00065639" w:rsidRPr="0079632A" w:rsidRDefault="000B7843" w:rsidP="0079632A">
      <w:pPr>
        <w:pStyle w:val="Ttulo1"/>
        <w:spacing w:line="360" w:lineRule="auto"/>
        <w:ind w:firstLine="708"/>
        <w:jc w:val="both"/>
        <w:rPr>
          <w:rFonts w:asciiTheme="minorHAnsi" w:hAnsiTheme="minorHAnsi" w:cstheme="minorHAnsi"/>
          <w:b/>
          <w:color w:val="000000" w:themeColor="text1"/>
          <w:sz w:val="20"/>
          <w:u w:val="single"/>
        </w:rPr>
      </w:pPr>
      <w:r w:rsidRPr="0079632A">
        <w:rPr>
          <w:rFonts w:asciiTheme="minorHAnsi" w:hAnsiTheme="minorHAnsi" w:cstheme="minorHAnsi"/>
          <w:b/>
          <w:color w:val="000000" w:themeColor="text1"/>
          <w:sz w:val="20"/>
          <w:u w:val="single"/>
        </w:rPr>
        <w:t>PUBLICIDAD EXPEDIENTES ADMNISTRATIVOS</w:t>
      </w:r>
    </w:p>
    <w:p w:rsidR="003070E7" w:rsidRDefault="003070E7" w:rsidP="003070E7">
      <w:pPr>
        <w:spacing w:line="360" w:lineRule="auto"/>
        <w:ind w:firstLine="720"/>
        <w:jc w:val="both"/>
        <w:rPr>
          <w:rFonts w:asciiTheme="minorHAnsi" w:hAnsiTheme="minorHAnsi" w:cstheme="minorHAnsi"/>
          <w:color w:val="000000" w:themeColor="text1"/>
          <w:sz w:val="20"/>
        </w:rPr>
      </w:pPr>
    </w:p>
    <w:p w:rsidR="003070E7" w:rsidRDefault="003070E7" w:rsidP="003070E7">
      <w:pPr>
        <w:spacing w:line="360" w:lineRule="auto"/>
        <w:ind w:firstLine="720"/>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 xml:space="preserve">El Servicio de Tesorerías tiene a su cargo la cobranza de todos los impuestos y demás créditos fiscales.  El procedimiento para cumplir tal función pública se encuentra descrito en los artículos 168 y siguientes del código tributario. </w:t>
      </w:r>
    </w:p>
    <w:p w:rsidR="003070E7" w:rsidRDefault="003070E7" w:rsidP="003070E7">
      <w:pPr>
        <w:spacing w:line="360" w:lineRule="auto"/>
        <w:ind w:firstLine="720"/>
        <w:jc w:val="both"/>
        <w:rPr>
          <w:rFonts w:asciiTheme="minorHAnsi" w:hAnsiTheme="minorHAnsi" w:cstheme="minorHAnsi"/>
          <w:color w:val="000000" w:themeColor="text1"/>
          <w:sz w:val="20"/>
        </w:rPr>
      </w:pPr>
    </w:p>
    <w:p w:rsidR="003070E7" w:rsidRPr="0079632A" w:rsidRDefault="003070E7" w:rsidP="003070E7">
      <w:pPr>
        <w:spacing w:line="360" w:lineRule="auto"/>
        <w:ind w:firstLine="720"/>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 xml:space="preserve">El cobro ejecutivo de obligaciones tributarias se realiza mediante un procedimiento ejecutivo </w:t>
      </w:r>
      <w:r>
        <w:rPr>
          <w:rFonts w:asciiTheme="minorHAnsi" w:hAnsiTheme="minorHAnsi" w:cstheme="minorHAnsi"/>
          <w:color w:val="000000" w:themeColor="text1"/>
          <w:sz w:val="20"/>
        </w:rPr>
        <w:t xml:space="preserve">cuya </w:t>
      </w:r>
      <w:r w:rsidRPr="0079632A">
        <w:rPr>
          <w:rFonts w:asciiTheme="minorHAnsi" w:hAnsiTheme="minorHAnsi" w:cstheme="minorHAnsi"/>
          <w:color w:val="000000" w:themeColor="text1"/>
          <w:sz w:val="20"/>
        </w:rPr>
        <w:t xml:space="preserve">tramitación se realiza ante </w:t>
      </w:r>
      <w:r>
        <w:rPr>
          <w:rFonts w:asciiTheme="minorHAnsi" w:hAnsiTheme="minorHAnsi" w:cstheme="minorHAnsi"/>
          <w:color w:val="000000" w:themeColor="text1"/>
          <w:sz w:val="20"/>
        </w:rPr>
        <w:t xml:space="preserve">la tesorería en la primera etapa y la segunda ante el </w:t>
      </w:r>
      <w:r w:rsidRPr="0079632A">
        <w:rPr>
          <w:rFonts w:asciiTheme="minorHAnsi" w:hAnsiTheme="minorHAnsi" w:cstheme="minorHAnsi"/>
          <w:color w:val="000000" w:themeColor="text1"/>
          <w:sz w:val="20"/>
        </w:rPr>
        <w:t>juez ordinario civil</w:t>
      </w:r>
    </w:p>
    <w:p w:rsidR="003070E7" w:rsidRDefault="003070E7" w:rsidP="003070E7">
      <w:pPr>
        <w:pStyle w:val="Textoindependiente"/>
        <w:spacing w:line="360" w:lineRule="auto"/>
        <w:jc w:val="both"/>
        <w:rPr>
          <w:rFonts w:asciiTheme="minorHAnsi" w:hAnsiTheme="minorHAnsi" w:cstheme="minorHAnsi"/>
          <w:color w:val="000000" w:themeColor="text1"/>
          <w:sz w:val="20"/>
        </w:rPr>
      </w:pPr>
    </w:p>
    <w:p w:rsidR="003070E7" w:rsidRPr="0079632A" w:rsidRDefault="003070E7" w:rsidP="003070E7">
      <w:pPr>
        <w:pStyle w:val="Textoindependiente"/>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El acceso a los expedientes en la etapa civil no presenta dificultades toda vez que se puede acceder a los expedientes mediante el sistema de consulta de causas del portal del poder judicial.</w:t>
      </w:r>
    </w:p>
    <w:p w:rsidR="003070E7" w:rsidRDefault="003070E7" w:rsidP="003070E7">
      <w:pPr>
        <w:pStyle w:val="Textoindependiente"/>
        <w:spacing w:line="360" w:lineRule="auto"/>
        <w:jc w:val="both"/>
        <w:rPr>
          <w:rFonts w:asciiTheme="minorHAnsi" w:hAnsiTheme="minorHAnsi" w:cstheme="minorHAnsi"/>
          <w:color w:val="000000" w:themeColor="text1"/>
          <w:sz w:val="20"/>
        </w:rPr>
      </w:pPr>
    </w:p>
    <w:p w:rsidR="003070E7" w:rsidRPr="0079632A" w:rsidRDefault="003070E7" w:rsidP="003070E7">
      <w:pPr>
        <w:pStyle w:val="Textoindependiente"/>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 xml:space="preserve">Tratándose del acceso de expedientes de requerimiento administrativos en su primera etapa de cobro, la cuestión es distinta. </w:t>
      </w:r>
    </w:p>
    <w:p w:rsidR="003070E7" w:rsidRDefault="003070E7" w:rsidP="003070E7">
      <w:pPr>
        <w:pStyle w:val="Textoindependiente"/>
        <w:spacing w:line="360" w:lineRule="auto"/>
        <w:jc w:val="both"/>
        <w:rPr>
          <w:rFonts w:asciiTheme="minorHAnsi" w:hAnsiTheme="minorHAnsi" w:cstheme="minorHAnsi"/>
          <w:color w:val="000000" w:themeColor="text1"/>
          <w:sz w:val="20"/>
        </w:rPr>
      </w:pPr>
    </w:p>
    <w:p w:rsidR="00281798" w:rsidRPr="0079632A" w:rsidRDefault="00281798" w:rsidP="00FB1808">
      <w:pPr>
        <w:spacing w:line="360" w:lineRule="auto"/>
        <w:ind w:firstLine="709"/>
        <w:jc w:val="both"/>
        <w:rPr>
          <w:rFonts w:asciiTheme="minorHAnsi" w:hAnsiTheme="minorHAnsi" w:cstheme="minorHAnsi"/>
          <w:color w:val="000000" w:themeColor="text1"/>
          <w:sz w:val="20"/>
          <w:lang w:eastAsia="es-CL"/>
        </w:rPr>
      </w:pPr>
      <w:r w:rsidRPr="0079632A">
        <w:rPr>
          <w:rFonts w:asciiTheme="minorHAnsi" w:hAnsiTheme="minorHAnsi" w:cstheme="minorHAnsi"/>
          <w:color w:val="000000" w:themeColor="text1"/>
          <w:sz w:val="20"/>
          <w:lang w:eastAsia="es-CL"/>
        </w:rPr>
        <w:t>Ante la pregunta que infiere sobre la publicidad de los expedientes administrativos la Tesorería General de la Republica ha entregado dos respuestas antagónicas.</w:t>
      </w:r>
    </w:p>
    <w:p w:rsidR="0079632A" w:rsidRDefault="0079632A" w:rsidP="00FB1808">
      <w:pPr>
        <w:spacing w:line="360" w:lineRule="auto"/>
        <w:ind w:firstLine="709"/>
        <w:jc w:val="both"/>
        <w:rPr>
          <w:rFonts w:asciiTheme="minorHAnsi" w:hAnsiTheme="minorHAnsi" w:cstheme="minorHAnsi"/>
          <w:color w:val="000000" w:themeColor="text1"/>
          <w:sz w:val="20"/>
          <w:lang w:eastAsia="es-CL"/>
        </w:rPr>
      </w:pPr>
    </w:p>
    <w:p w:rsidR="003070E7" w:rsidRDefault="0079632A" w:rsidP="00FB1808">
      <w:pPr>
        <w:spacing w:line="360" w:lineRule="auto"/>
        <w:ind w:firstLine="709"/>
        <w:jc w:val="both"/>
        <w:rPr>
          <w:rFonts w:asciiTheme="minorHAnsi" w:hAnsiTheme="minorHAnsi" w:cstheme="minorHAnsi"/>
          <w:color w:val="000000" w:themeColor="text1"/>
          <w:sz w:val="20"/>
        </w:rPr>
      </w:pPr>
      <w:r>
        <w:rPr>
          <w:rFonts w:asciiTheme="minorHAnsi" w:hAnsiTheme="minorHAnsi" w:cstheme="minorHAnsi"/>
          <w:color w:val="000000" w:themeColor="text1"/>
          <w:sz w:val="20"/>
          <w:lang w:eastAsia="es-CL"/>
        </w:rPr>
        <w:t>Los expedientes de requerimiento administrativos s</w:t>
      </w:r>
      <w:r w:rsidR="00281798" w:rsidRPr="0079632A">
        <w:rPr>
          <w:rFonts w:asciiTheme="minorHAnsi" w:hAnsiTheme="minorHAnsi" w:cstheme="minorHAnsi"/>
          <w:color w:val="000000" w:themeColor="text1"/>
          <w:sz w:val="20"/>
          <w:lang w:eastAsia="es-CL"/>
        </w:rPr>
        <w:t xml:space="preserve">on públicos. </w:t>
      </w:r>
      <w:r w:rsidR="00281798" w:rsidRPr="0079632A">
        <w:rPr>
          <w:rFonts w:asciiTheme="minorHAnsi" w:hAnsiTheme="minorHAnsi" w:cstheme="minorHAnsi"/>
          <w:color w:val="000000" w:themeColor="text1"/>
          <w:sz w:val="20"/>
        </w:rPr>
        <w:t xml:space="preserve">Esto lo </w:t>
      </w:r>
      <w:r w:rsidR="003070E7">
        <w:rPr>
          <w:rFonts w:asciiTheme="minorHAnsi" w:hAnsiTheme="minorHAnsi" w:cstheme="minorHAnsi"/>
          <w:color w:val="000000" w:themeColor="text1"/>
          <w:sz w:val="20"/>
        </w:rPr>
        <w:t>sostuvo</w:t>
      </w:r>
      <w:r w:rsidR="00281798" w:rsidRPr="0079632A">
        <w:rPr>
          <w:rFonts w:asciiTheme="minorHAnsi" w:hAnsiTheme="minorHAnsi" w:cstheme="minorHAnsi"/>
          <w:color w:val="000000" w:themeColor="text1"/>
          <w:sz w:val="20"/>
        </w:rPr>
        <w:t xml:space="preserve"> </w:t>
      </w:r>
      <w:r w:rsidR="003070E7">
        <w:rPr>
          <w:rFonts w:asciiTheme="minorHAnsi" w:hAnsiTheme="minorHAnsi" w:cstheme="minorHAnsi"/>
          <w:color w:val="000000" w:themeColor="text1"/>
          <w:sz w:val="20"/>
        </w:rPr>
        <w:t xml:space="preserve">por </w:t>
      </w:r>
      <w:r w:rsidR="00281798" w:rsidRPr="0079632A">
        <w:rPr>
          <w:rFonts w:asciiTheme="minorHAnsi" w:hAnsiTheme="minorHAnsi" w:cstheme="minorHAnsi"/>
          <w:color w:val="000000" w:themeColor="text1"/>
          <w:sz w:val="20"/>
        </w:rPr>
        <w:t>resolución exenta 2475 del servicio de Tesorería de 2 de sep</w:t>
      </w:r>
      <w:r>
        <w:rPr>
          <w:rFonts w:asciiTheme="minorHAnsi" w:hAnsiTheme="minorHAnsi" w:cstheme="minorHAnsi"/>
          <w:color w:val="000000" w:themeColor="text1"/>
          <w:sz w:val="20"/>
        </w:rPr>
        <w:t>tiembre del año 2002 que señaló -</w:t>
      </w:r>
      <w:r w:rsidR="00281798" w:rsidRPr="0079632A">
        <w:rPr>
          <w:rFonts w:asciiTheme="minorHAnsi" w:hAnsiTheme="minorHAnsi" w:cstheme="minorHAnsi"/>
          <w:color w:val="000000" w:themeColor="text1"/>
          <w:sz w:val="20"/>
        </w:rPr>
        <w:t>en lo relativo a los expedientes de requerimientos administrativos</w:t>
      </w:r>
      <w:r>
        <w:rPr>
          <w:rFonts w:asciiTheme="minorHAnsi" w:hAnsiTheme="minorHAnsi" w:cstheme="minorHAnsi"/>
          <w:color w:val="000000" w:themeColor="text1"/>
          <w:sz w:val="20"/>
        </w:rPr>
        <w:t>-</w:t>
      </w:r>
      <w:r w:rsidR="00281798" w:rsidRPr="0079632A">
        <w:rPr>
          <w:rFonts w:asciiTheme="minorHAnsi" w:hAnsiTheme="minorHAnsi" w:cstheme="minorHAnsi"/>
          <w:color w:val="000000" w:themeColor="text1"/>
          <w:sz w:val="20"/>
        </w:rPr>
        <w:t xml:space="preserve"> que son públicos desde el momento de su notificación. </w:t>
      </w:r>
    </w:p>
    <w:p w:rsidR="00281798" w:rsidRPr="0079632A" w:rsidRDefault="00281798" w:rsidP="00FB1808">
      <w:pPr>
        <w:spacing w:line="360" w:lineRule="auto"/>
        <w:ind w:firstLine="709"/>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lastRenderedPageBreak/>
        <w:t xml:space="preserve">Tal posición la sostuvo </w:t>
      </w:r>
      <w:r w:rsidR="003070E7">
        <w:rPr>
          <w:rFonts w:asciiTheme="minorHAnsi" w:hAnsiTheme="minorHAnsi" w:cstheme="minorHAnsi"/>
          <w:color w:val="000000" w:themeColor="text1"/>
          <w:sz w:val="20"/>
        </w:rPr>
        <w:t xml:space="preserve">incluso </w:t>
      </w:r>
      <w:r w:rsidRPr="0079632A">
        <w:rPr>
          <w:rFonts w:asciiTheme="minorHAnsi" w:hAnsiTheme="minorHAnsi" w:cstheme="minorHAnsi"/>
          <w:color w:val="000000" w:themeColor="text1"/>
          <w:sz w:val="20"/>
        </w:rPr>
        <w:t xml:space="preserve">ante la Corte de Apelaciones de Santiago, Corte Suprema y Contraloría General de la República en los denominados casos Dicom.  </w:t>
      </w:r>
    </w:p>
    <w:p w:rsidR="0079632A" w:rsidRDefault="0079632A" w:rsidP="00FB1808">
      <w:pPr>
        <w:spacing w:line="360" w:lineRule="auto"/>
        <w:ind w:firstLine="709"/>
        <w:jc w:val="both"/>
        <w:rPr>
          <w:rFonts w:asciiTheme="minorHAnsi" w:hAnsiTheme="minorHAnsi" w:cstheme="minorHAnsi"/>
          <w:color w:val="000000" w:themeColor="text1"/>
          <w:sz w:val="20"/>
        </w:rPr>
      </w:pPr>
    </w:p>
    <w:p w:rsidR="00281798" w:rsidRDefault="003070E7" w:rsidP="00FB1808">
      <w:pPr>
        <w:spacing w:line="360" w:lineRule="auto"/>
        <w:ind w:firstLine="709"/>
        <w:jc w:val="both"/>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El </w:t>
      </w:r>
      <w:r w:rsidR="0079632A">
        <w:rPr>
          <w:rFonts w:asciiTheme="minorHAnsi" w:hAnsiTheme="minorHAnsi" w:cstheme="minorHAnsi"/>
          <w:color w:val="000000" w:themeColor="text1"/>
          <w:sz w:val="20"/>
        </w:rPr>
        <w:t xml:space="preserve">año 2016 </w:t>
      </w:r>
      <w:r>
        <w:rPr>
          <w:rFonts w:asciiTheme="minorHAnsi" w:hAnsiTheme="minorHAnsi" w:cstheme="minorHAnsi"/>
          <w:color w:val="000000" w:themeColor="text1"/>
          <w:sz w:val="20"/>
        </w:rPr>
        <w:t>-</w:t>
      </w:r>
      <w:r w:rsidR="0079632A">
        <w:rPr>
          <w:rFonts w:asciiTheme="minorHAnsi" w:hAnsiTheme="minorHAnsi" w:cstheme="minorHAnsi"/>
          <w:color w:val="000000" w:themeColor="text1"/>
          <w:sz w:val="20"/>
        </w:rPr>
        <w:t xml:space="preserve">ante </w:t>
      </w:r>
      <w:r w:rsidR="00281798" w:rsidRPr="0079632A">
        <w:rPr>
          <w:rFonts w:asciiTheme="minorHAnsi" w:hAnsiTheme="minorHAnsi" w:cstheme="minorHAnsi"/>
          <w:color w:val="000000" w:themeColor="text1"/>
          <w:sz w:val="20"/>
        </w:rPr>
        <w:t xml:space="preserve">solicitud </w:t>
      </w:r>
      <w:r w:rsidR="0079632A">
        <w:rPr>
          <w:rFonts w:asciiTheme="minorHAnsi" w:hAnsiTheme="minorHAnsi" w:cstheme="minorHAnsi"/>
          <w:color w:val="000000" w:themeColor="text1"/>
          <w:sz w:val="20"/>
        </w:rPr>
        <w:t xml:space="preserve">por ley de transparencia </w:t>
      </w:r>
      <w:r>
        <w:rPr>
          <w:rFonts w:asciiTheme="minorHAnsi" w:hAnsiTheme="minorHAnsi" w:cstheme="minorHAnsi"/>
          <w:color w:val="000000" w:themeColor="text1"/>
          <w:sz w:val="20"/>
        </w:rPr>
        <w:t xml:space="preserve">- </w:t>
      </w:r>
      <w:r w:rsidR="0079632A">
        <w:rPr>
          <w:rFonts w:asciiTheme="minorHAnsi" w:hAnsiTheme="minorHAnsi" w:cstheme="minorHAnsi"/>
          <w:color w:val="000000" w:themeColor="text1"/>
          <w:sz w:val="20"/>
        </w:rPr>
        <w:t xml:space="preserve">el servicio público sostuvo que </w:t>
      </w:r>
      <w:r w:rsidR="00281798" w:rsidRPr="0079632A">
        <w:rPr>
          <w:rFonts w:asciiTheme="minorHAnsi" w:hAnsiTheme="minorHAnsi" w:cstheme="minorHAnsi"/>
          <w:color w:val="000000" w:themeColor="text1"/>
          <w:sz w:val="20"/>
        </w:rPr>
        <w:t xml:space="preserve">los expedientes de requerimientos administrativos se encuentran sujetos al secreto tributario del artículo 35 del código tributario y </w:t>
      </w:r>
      <w:r>
        <w:rPr>
          <w:rFonts w:asciiTheme="minorHAnsi" w:hAnsiTheme="minorHAnsi" w:cstheme="minorHAnsi"/>
          <w:color w:val="000000" w:themeColor="text1"/>
          <w:sz w:val="20"/>
        </w:rPr>
        <w:t xml:space="preserve">a </w:t>
      </w:r>
      <w:r w:rsidR="00281798" w:rsidRPr="0079632A">
        <w:rPr>
          <w:rFonts w:asciiTheme="minorHAnsi" w:hAnsiTheme="minorHAnsi" w:cstheme="minorHAnsi"/>
          <w:color w:val="000000" w:themeColor="text1"/>
          <w:sz w:val="20"/>
        </w:rPr>
        <w:t xml:space="preserve">reserva </w:t>
      </w:r>
      <w:r>
        <w:rPr>
          <w:rFonts w:asciiTheme="minorHAnsi" w:hAnsiTheme="minorHAnsi" w:cstheme="minorHAnsi"/>
          <w:color w:val="000000" w:themeColor="text1"/>
          <w:sz w:val="20"/>
        </w:rPr>
        <w:t xml:space="preserve">por </w:t>
      </w:r>
      <w:r w:rsidR="00281798" w:rsidRPr="0079632A">
        <w:rPr>
          <w:rFonts w:asciiTheme="minorHAnsi" w:hAnsiTheme="minorHAnsi" w:cstheme="minorHAnsi"/>
          <w:color w:val="000000" w:themeColor="text1"/>
          <w:sz w:val="20"/>
        </w:rPr>
        <w:t xml:space="preserve">el artículo 175 inciso 3 del código tributario, exigiendo en consecuencia un poder especial para acceder a los expedientes a quienes no sean deudores. </w:t>
      </w:r>
    </w:p>
    <w:p w:rsidR="0079632A" w:rsidRDefault="0079632A" w:rsidP="00FB1808">
      <w:pPr>
        <w:spacing w:line="360" w:lineRule="auto"/>
        <w:ind w:firstLine="709"/>
        <w:jc w:val="both"/>
        <w:rPr>
          <w:rFonts w:asciiTheme="minorHAnsi" w:hAnsiTheme="minorHAnsi" w:cstheme="minorHAnsi"/>
          <w:color w:val="000000" w:themeColor="text1"/>
          <w:sz w:val="20"/>
        </w:rPr>
      </w:pPr>
    </w:p>
    <w:p w:rsidR="0079632A" w:rsidRDefault="003070E7" w:rsidP="00FB1808">
      <w:pPr>
        <w:pStyle w:val="Textoindependiente"/>
        <w:spacing w:line="360" w:lineRule="auto"/>
        <w:jc w:val="both"/>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En la práctica -y ante la solicitud de acceder a un expediente administrativo-  exige un poder especial toda vez que –así lo sostienen- </w:t>
      </w:r>
      <w:r w:rsidR="00C13FAB" w:rsidRPr="0079632A">
        <w:rPr>
          <w:rFonts w:asciiTheme="minorHAnsi" w:hAnsiTheme="minorHAnsi" w:cstheme="minorHAnsi"/>
          <w:color w:val="000000" w:themeColor="text1"/>
          <w:sz w:val="20"/>
        </w:rPr>
        <w:t xml:space="preserve">tales expedientes están sujetos </w:t>
      </w:r>
      <w:r w:rsidR="00281798" w:rsidRPr="0079632A">
        <w:rPr>
          <w:rFonts w:asciiTheme="minorHAnsi" w:hAnsiTheme="minorHAnsi" w:cstheme="minorHAnsi"/>
          <w:color w:val="000000" w:themeColor="text1"/>
          <w:sz w:val="20"/>
        </w:rPr>
        <w:t xml:space="preserve">al secreto tributario del artículo 35 del código tributario y a </w:t>
      </w:r>
      <w:r>
        <w:rPr>
          <w:rFonts w:asciiTheme="minorHAnsi" w:hAnsiTheme="minorHAnsi" w:cstheme="minorHAnsi"/>
          <w:color w:val="000000" w:themeColor="text1"/>
          <w:sz w:val="20"/>
        </w:rPr>
        <w:t xml:space="preserve">la </w:t>
      </w:r>
      <w:r w:rsidR="00281798" w:rsidRPr="0079632A">
        <w:rPr>
          <w:rFonts w:asciiTheme="minorHAnsi" w:hAnsiTheme="minorHAnsi" w:cstheme="minorHAnsi"/>
          <w:color w:val="000000" w:themeColor="text1"/>
          <w:sz w:val="20"/>
        </w:rPr>
        <w:t xml:space="preserve">reserva </w:t>
      </w:r>
      <w:r>
        <w:rPr>
          <w:rFonts w:asciiTheme="minorHAnsi" w:hAnsiTheme="minorHAnsi" w:cstheme="minorHAnsi"/>
          <w:color w:val="000000" w:themeColor="text1"/>
          <w:sz w:val="20"/>
        </w:rPr>
        <w:t xml:space="preserve">del </w:t>
      </w:r>
      <w:r w:rsidR="00281798" w:rsidRPr="0079632A">
        <w:rPr>
          <w:rFonts w:asciiTheme="minorHAnsi" w:hAnsiTheme="minorHAnsi" w:cstheme="minorHAnsi"/>
          <w:color w:val="000000" w:themeColor="text1"/>
          <w:sz w:val="20"/>
        </w:rPr>
        <w:t xml:space="preserve">artículo 175 inciso 3 del código tributario. </w:t>
      </w:r>
    </w:p>
    <w:p w:rsidR="003070E7" w:rsidRPr="0079632A" w:rsidRDefault="003070E7" w:rsidP="00FB1808">
      <w:pPr>
        <w:pStyle w:val="Textoindependiente"/>
        <w:spacing w:line="360" w:lineRule="auto"/>
        <w:jc w:val="both"/>
        <w:rPr>
          <w:rFonts w:asciiTheme="minorHAnsi" w:hAnsiTheme="minorHAnsi" w:cstheme="minorHAnsi"/>
          <w:color w:val="000000" w:themeColor="text1"/>
          <w:sz w:val="20"/>
        </w:rPr>
      </w:pPr>
    </w:p>
    <w:p w:rsidR="00065639" w:rsidRPr="0079632A" w:rsidRDefault="0058479F" w:rsidP="00FB1808">
      <w:pPr>
        <w:pStyle w:val="Textoindependiente"/>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 xml:space="preserve">Sin embargo, esta práctica carece de fundamentación normativa y </w:t>
      </w:r>
      <w:r w:rsidR="008A2898" w:rsidRPr="0079632A">
        <w:rPr>
          <w:rFonts w:asciiTheme="minorHAnsi" w:hAnsiTheme="minorHAnsi" w:cstheme="minorHAnsi"/>
          <w:color w:val="000000" w:themeColor="text1"/>
          <w:sz w:val="20"/>
        </w:rPr>
        <w:t xml:space="preserve">vulnera el </w:t>
      </w:r>
      <w:r w:rsidRPr="0079632A">
        <w:rPr>
          <w:rFonts w:asciiTheme="minorHAnsi" w:hAnsiTheme="minorHAnsi" w:cstheme="minorHAnsi"/>
          <w:color w:val="000000" w:themeColor="text1"/>
          <w:sz w:val="20"/>
        </w:rPr>
        <w:t>principio de publicidad</w:t>
      </w:r>
      <w:r w:rsidR="00281798" w:rsidRPr="0079632A">
        <w:rPr>
          <w:rFonts w:asciiTheme="minorHAnsi" w:hAnsiTheme="minorHAnsi" w:cstheme="minorHAnsi"/>
          <w:color w:val="000000" w:themeColor="text1"/>
          <w:sz w:val="20"/>
        </w:rPr>
        <w:t xml:space="preserve">; </w:t>
      </w:r>
      <w:r w:rsidR="008A2898" w:rsidRPr="0079632A">
        <w:rPr>
          <w:rFonts w:asciiTheme="minorHAnsi" w:hAnsiTheme="minorHAnsi" w:cstheme="minorHAnsi"/>
          <w:color w:val="000000" w:themeColor="text1"/>
          <w:sz w:val="20"/>
        </w:rPr>
        <w:t xml:space="preserve">el </w:t>
      </w:r>
      <w:r w:rsidRPr="0079632A">
        <w:rPr>
          <w:rFonts w:asciiTheme="minorHAnsi" w:hAnsiTheme="minorHAnsi" w:cstheme="minorHAnsi"/>
          <w:color w:val="000000" w:themeColor="text1"/>
          <w:sz w:val="20"/>
        </w:rPr>
        <w:t xml:space="preserve">derecho al </w:t>
      </w:r>
      <w:r w:rsidR="005D7936" w:rsidRPr="0079632A">
        <w:rPr>
          <w:rFonts w:asciiTheme="minorHAnsi" w:hAnsiTheme="minorHAnsi" w:cstheme="minorHAnsi"/>
          <w:color w:val="000000" w:themeColor="text1"/>
          <w:sz w:val="20"/>
        </w:rPr>
        <w:t>acceso a la información pública</w:t>
      </w:r>
      <w:r w:rsidR="00281798" w:rsidRPr="0079632A">
        <w:rPr>
          <w:rFonts w:asciiTheme="minorHAnsi" w:hAnsiTheme="minorHAnsi" w:cstheme="minorHAnsi"/>
          <w:color w:val="000000" w:themeColor="text1"/>
          <w:sz w:val="20"/>
        </w:rPr>
        <w:t xml:space="preserve"> y el principio de los actos propios,</w:t>
      </w:r>
      <w:r w:rsidR="005D7936" w:rsidRPr="0079632A">
        <w:rPr>
          <w:rFonts w:asciiTheme="minorHAnsi" w:hAnsiTheme="minorHAnsi" w:cstheme="minorHAnsi"/>
          <w:color w:val="000000" w:themeColor="text1"/>
          <w:sz w:val="20"/>
        </w:rPr>
        <w:t xml:space="preserve"> impidiendo </w:t>
      </w:r>
      <w:r w:rsidR="00281798" w:rsidRPr="0079632A">
        <w:rPr>
          <w:rFonts w:asciiTheme="minorHAnsi" w:hAnsiTheme="minorHAnsi" w:cstheme="minorHAnsi"/>
          <w:color w:val="000000" w:themeColor="text1"/>
          <w:sz w:val="20"/>
        </w:rPr>
        <w:t xml:space="preserve">finalmente </w:t>
      </w:r>
      <w:r w:rsidR="005D7936" w:rsidRPr="0079632A">
        <w:rPr>
          <w:rFonts w:asciiTheme="minorHAnsi" w:hAnsiTheme="minorHAnsi" w:cstheme="minorHAnsi"/>
          <w:color w:val="000000" w:themeColor="text1"/>
          <w:sz w:val="20"/>
        </w:rPr>
        <w:t>el control ciudadano de los actos de la administración</w:t>
      </w:r>
      <w:r w:rsidR="00471EA4" w:rsidRPr="0079632A">
        <w:rPr>
          <w:rStyle w:val="Refdenotaalpie"/>
          <w:rFonts w:asciiTheme="minorHAnsi" w:hAnsiTheme="minorHAnsi" w:cstheme="minorHAnsi"/>
          <w:color w:val="000000" w:themeColor="text1"/>
          <w:sz w:val="20"/>
        </w:rPr>
        <w:footnoteReference w:id="1"/>
      </w:r>
      <w:r w:rsidR="005D7936" w:rsidRPr="0079632A">
        <w:rPr>
          <w:rFonts w:asciiTheme="minorHAnsi" w:hAnsiTheme="minorHAnsi" w:cstheme="minorHAnsi"/>
          <w:color w:val="000000" w:themeColor="text1"/>
          <w:sz w:val="20"/>
        </w:rPr>
        <w:t>.</w:t>
      </w:r>
    </w:p>
    <w:p w:rsidR="0079632A" w:rsidRDefault="0079632A" w:rsidP="00FB1808">
      <w:pPr>
        <w:pStyle w:val="Textoindependiente"/>
        <w:spacing w:line="360" w:lineRule="auto"/>
        <w:jc w:val="both"/>
        <w:rPr>
          <w:rFonts w:asciiTheme="minorHAnsi" w:hAnsiTheme="minorHAnsi" w:cstheme="minorHAnsi"/>
          <w:color w:val="000000" w:themeColor="text1"/>
          <w:sz w:val="20"/>
        </w:rPr>
      </w:pPr>
    </w:p>
    <w:p w:rsidR="00562404" w:rsidRPr="0079632A" w:rsidRDefault="00562404" w:rsidP="00FB1808">
      <w:pPr>
        <w:pStyle w:val="Textoindependiente"/>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El presente tendrá por objeto demostrar que los expedientes de requerimiento administrativos tienen el carácter de públicos</w:t>
      </w:r>
      <w:r w:rsidR="00E16BB5" w:rsidRPr="0079632A">
        <w:rPr>
          <w:rFonts w:asciiTheme="minorHAnsi" w:hAnsiTheme="minorHAnsi" w:cstheme="minorHAnsi"/>
          <w:color w:val="000000" w:themeColor="text1"/>
          <w:sz w:val="20"/>
        </w:rPr>
        <w:t xml:space="preserve">, al menos, </w:t>
      </w:r>
      <w:r w:rsidRPr="0079632A">
        <w:rPr>
          <w:rFonts w:asciiTheme="minorHAnsi" w:hAnsiTheme="minorHAnsi" w:cstheme="minorHAnsi"/>
          <w:color w:val="000000" w:themeColor="text1"/>
          <w:sz w:val="20"/>
        </w:rPr>
        <w:t xml:space="preserve">desde el momento de la notificación de la demanda.  Para llegar a tal conclusión se analizará la extensión del secreto </w:t>
      </w:r>
      <w:r w:rsidR="003070E7">
        <w:rPr>
          <w:rFonts w:asciiTheme="minorHAnsi" w:hAnsiTheme="minorHAnsi" w:cstheme="minorHAnsi"/>
          <w:color w:val="000000" w:themeColor="text1"/>
          <w:sz w:val="20"/>
        </w:rPr>
        <w:t>tributario</w:t>
      </w:r>
      <w:r w:rsidRPr="0079632A">
        <w:rPr>
          <w:rFonts w:asciiTheme="minorHAnsi" w:hAnsiTheme="minorHAnsi" w:cstheme="minorHAnsi"/>
          <w:color w:val="000000" w:themeColor="text1"/>
          <w:sz w:val="20"/>
        </w:rPr>
        <w:t xml:space="preserve">; </w:t>
      </w:r>
      <w:r w:rsidR="00281798" w:rsidRPr="0079632A">
        <w:rPr>
          <w:rFonts w:asciiTheme="minorHAnsi" w:hAnsiTheme="minorHAnsi" w:cstheme="minorHAnsi"/>
          <w:color w:val="000000" w:themeColor="text1"/>
          <w:sz w:val="20"/>
        </w:rPr>
        <w:t>la posición institucional del Servicio de Tesorerías</w:t>
      </w:r>
      <w:r w:rsidRPr="0079632A">
        <w:rPr>
          <w:rFonts w:asciiTheme="minorHAnsi" w:hAnsiTheme="minorHAnsi" w:cstheme="minorHAnsi"/>
          <w:color w:val="000000" w:themeColor="text1"/>
          <w:sz w:val="20"/>
        </w:rPr>
        <w:t xml:space="preserve"> y la jurisprudencia judicial y administrativa.</w:t>
      </w:r>
    </w:p>
    <w:p w:rsidR="008948EF" w:rsidRPr="0079632A" w:rsidRDefault="008948EF" w:rsidP="00FB1808">
      <w:pPr>
        <w:pStyle w:val="Textoindependiente"/>
        <w:spacing w:line="360" w:lineRule="auto"/>
        <w:ind w:firstLine="0"/>
        <w:jc w:val="both"/>
        <w:rPr>
          <w:rFonts w:asciiTheme="minorHAnsi" w:hAnsiTheme="minorHAnsi" w:cstheme="minorHAnsi"/>
          <w:b/>
          <w:color w:val="000000" w:themeColor="text1"/>
          <w:sz w:val="20"/>
          <w:u w:val="single"/>
        </w:rPr>
      </w:pPr>
    </w:p>
    <w:p w:rsidR="001A5EA5" w:rsidRPr="0079632A" w:rsidRDefault="00087204" w:rsidP="00FB1808">
      <w:pPr>
        <w:pStyle w:val="Textoindependiente"/>
        <w:spacing w:line="360" w:lineRule="auto"/>
        <w:jc w:val="both"/>
        <w:rPr>
          <w:rStyle w:val="hps"/>
          <w:rFonts w:asciiTheme="minorHAnsi" w:hAnsiTheme="minorHAnsi" w:cstheme="minorHAnsi"/>
          <w:b/>
          <w:color w:val="000000" w:themeColor="text1"/>
          <w:sz w:val="20"/>
          <w:u w:val="single"/>
        </w:rPr>
      </w:pPr>
      <w:r w:rsidRPr="0079632A">
        <w:rPr>
          <w:rStyle w:val="hps"/>
          <w:rFonts w:asciiTheme="minorHAnsi" w:hAnsiTheme="minorHAnsi" w:cstheme="minorHAnsi"/>
          <w:b/>
          <w:color w:val="000000" w:themeColor="text1"/>
          <w:sz w:val="20"/>
          <w:u w:val="single"/>
        </w:rPr>
        <w:t>SECRETO Y RESERVA TRIBUTARIA</w:t>
      </w:r>
      <w:r w:rsidR="005D7936" w:rsidRPr="0079632A">
        <w:rPr>
          <w:rStyle w:val="hps"/>
          <w:rFonts w:asciiTheme="minorHAnsi" w:hAnsiTheme="minorHAnsi" w:cstheme="minorHAnsi"/>
          <w:b/>
          <w:color w:val="000000" w:themeColor="text1"/>
          <w:sz w:val="20"/>
          <w:u w:val="single"/>
        </w:rPr>
        <w:t>.</w:t>
      </w:r>
    </w:p>
    <w:p w:rsidR="00694632" w:rsidRPr="0079632A" w:rsidRDefault="00694632" w:rsidP="00FB1808">
      <w:pPr>
        <w:pStyle w:val="Textoindependiente"/>
        <w:spacing w:line="360" w:lineRule="auto"/>
        <w:jc w:val="both"/>
        <w:rPr>
          <w:rStyle w:val="hps"/>
          <w:rFonts w:asciiTheme="minorHAnsi" w:hAnsiTheme="minorHAnsi" w:cstheme="minorHAnsi"/>
          <w:color w:val="000000" w:themeColor="text1"/>
          <w:sz w:val="20"/>
        </w:rPr>
      </w:pPr>
    </w:p>
    <w:p w:rsidR="005D7936" w:rsidRPr="0079632A" w:rsidRDefault="005D7936" w:rsidP="00FB1808">
      <w:pPr>
        <w:pStyle w:val="Textoindependiente"/>
        <w:spacing w:line="360" w:lineRule="auto"/>
        <w:jc w:val="both"/>
        <w:rPr>
          <w:rStyle w:val="hps"/>
          <w:rFonts w:asciiTheme="minorHAnsi" w:hAnsiTheme="minorHAnsi" w:cstheme="minorHAnsi"/>
          <w:color w:val="000000" w:themeColor="text1"/>
          <w:sz w:val="20"/>
        </w:rPr>
      </w:pPr>
      <w:r w:rsidRPr="0079632A">
        <w:rPr>
          <w:rStyle w:val="hps"/>
          <w:rFonts w:asciiTheme="minorHAnsi" w:hAnsiTheme="minorHAnsi" w:cstheme="minorHAnsi"/>
          <w:color w:val="000000" w:themeColor="text1"/>
          <w:sz w:val="20"/>
        </w:rPr>
        <w:t>El secreto y reserva tributaria se encuentra en los artículos 8 y 35 del código tributario.</w:t>
      </w:r>
    </w:p>
    <w:p w:rsidR="00694632" w:rsidRPr="0079632A" w:rsidRDefault="00694632" w:rsidP="00FB1808">
      <w:pPr>
        <w:pStyle w:val="Textoindependiente"/>
        <w:spacing w:line="360" w:lineRule="auto"/>
        <w:jc w:val="both"/>
        <w:rPr>
          <w:rStyle w:val="hps"/>
          <w:rFonts w:asciiTheme="minorHAnsi" w:hAnsiTheme="minorHAnsi" w:cstheme="minorHAnsi"/>
          <w:color w:val="000000" w:themeColor="text1"/>
          <w:sz w:val="20"/>
        </w:rPr>
      </w:pPr>
    </w:p>
    <w:p w:rsidR="00BA13E0" w:rsidRPr="0079632A" w:rsidRDefault="00087204" w:rsidP="00062468">
      <w:pPr>
        <w:pStyle w:val="Textoindependiente"/>
        <w:spacing w:line="360" w:lineRule="auto"/>
        <w:jc w:val="both"/>
        <w:rPr>
          <w:rFonts w:asciiTheme="minorHAnsi" w:hAnsiTheme="minorHAnsi" w:cstheme="minorHAnsi"/>
          <w:color w:val="000000" w:themeColor="text1"/>
          <w:sz w:val="20"/>
        </w:rPr>
      </w:pPr>
      <w:r w:rsidRPr="0079632A">
        <w:rPr>
          <w:rStyle w:val="hps"/>
          <w:rFonts w:asciiTheme="minorHAnsi" w:hAnsiTheme="minorHAnsi" w:cstheme="minorHAnsi"/>
          <w:color w:val="000000" w:themeColor="text1"/>
          <w:sz w:val="20"/>
        </w:rPr>
        <w:t xml:space="preserve">El artículo </w:t>
      </w:r>
      <w:r w:rsidR="00BA13E0" w:rsidRPr="0079632A">
        <w:rPr>
          <w:rFonts w:asciiTheme="minorHAnsi" w:hAnsiTheme="minorHAnsi" w:cstheme="minorHAnsi"/>
          <w:color w:val="000000" w:themeColor="text1"/>
          <w:sz w:val="20"/>
        </w:rPr>
        <w:t>8º bis</w:t>
      </w:r>
      <w:r w:rsidRPr="0079632A">
        <w:rPr>
          <w:rFonts w:asciiTheme="minorHAnsi" w:hAnsiTheme="minorHAnsi" w:cstheme="minorHAnsi"/>
          <w:color w:val="000000" w:themeColor="text1"/>
          <w:sz w:val="20"/>
        </w:rPr>
        <w:t xml:space="preserve"> del código tributario señala que</w:t>
      </w:r>
      <w:r w:rsidRPr="0079632A">
        <w:rPr>
          <w:rFonts w:asciiTheme="minorHAnsi" w:hAnsiTheme="minorHAnsi" w:cstheme="minorHAnsi"/>
          <w:b/>
          <w:color w:val="000000" w:themeColor="text1"/>
          <w:sz w:val="20"/>
        </w:rPr>
        <w:t xml:space="preserve"> </w:t>
      </w:r>
      <w:r w:rsidR="00BA13E0" w:rsidRPr="0079632A">
        <w:rPr>
          <w:rFonts w:asciiTheme="minorHAnsi" w:hAnsiTheme="minorHAnsi" w:cstheme="minorHAnsi"/>
          <w:color w:val="000000" w:themeColor="text1"/>
          <w:sz w:val="20"/>
        </w:rPr>
        <w:t>constituyen derechos de los contribuyentes</w:t>
      </w:r>
      <w:r w:rsidR="00F1792F" w:rsidRPr="0079632A">
        <w:rPr>
          <w:rFonts w:asciiTheme="minorHAnsi" w:hAnsiTheme="minorHAnsi" w:cstheme="minorHAnsi"/>
          <w:color w:val="000000" w:themeColor="text1"/>
          <w:sz w:val="20"/>
        </w:rPr>
        <w:t>:</w:t>
      </w:r>
      <w:r w:rsidRPr="0079632A">
        <w:rPr>
          <w:rFonts w:asciiTheme="minorHAnsi" w:hAnsiTheme="minorHAnsi" w:cstheme="minorHAnsi"/>
          <w:color w:val="000000" w:themeColor="text1"/>
          <w:sz w:val="20"/>
        </w:rPr>
        <w:t xml:space="preserve"> n°</w:t>
      </w:r>
      <w:r w:rsidR="00BA13E0" w:rsidRPr="0079632A">
        <w:rPr>
          <w:rFonts w:asciiTheme="minorHAnsi" w:hAnsiTheme="minorHAnsi" w:cstheme="minorHAnsi"/>
          <w:color w:val="000000" w:themeColor="text1"/>
          <w:sz w:val="20"/>
        </w:rPr>
        <w:t>7° Derecho a que las declaraciones impositivas, salvo los casos de excepción legal, tengan carácter reservado, en los términos previstos por es</w:t>
      </w:r>
      <w:r w:rsidRPr="0079632A">
        <w:rPr>
          <w:rFonts w:asciiTheme="minorHAnsi" w:hAnsiTheme="minorHAnsi" w:cstheme="minorHAnsi"/>
          <w:color w:val="000000" w:themeColor="text1"/>
          <w:sz w:val="20"/>
        </w:rPr>
        <w:t>te Código”</w:t>
      </w:r>
    </w:p>
    <w:p w:rsidR="00694632" w:rsidRPr="0079632A" w:rsidRDefault="00087204" w:rsidP="00FB1808">
      <w:pPr>
        <w:tabs>
          <w:tab w:val="left" w:pos="-720"/>
          <w:tab w:val="left" w:pos="567"/>
        </w:tabs>
        <w:spacing w:line="360" w:lineRule="auto"/>
        <w:jc w:val="both"/>
        <w:rPr>
          <w:rFonts w:asciiTheme="minorHAnsi" w:hAnsiTheme="minorHAnsi" w:cstheme="minorHAnsi"/>
          <w:color w:val="000000" w:themeColor="text1"/>
          <w:spacing w:val="-3"/>
          <w:sz w:val="20"/>
        </w:rPr>
      </w:pPr>
      <w:r w:rsidRPr="0079632A">
        <w:rPr>
          <w:rFonts w:asciiTheme="minorHAnsi" w:hAnsiTheme="minorHAnsi" w:cstheme="minorHAnsi"/>
          <w:color w:val="000000" w:themeColor="text1"/>
          <w:spacing w:val="-3"/>
          <w:sz w:val="20"/>
        </w:rPr>
        <w:tab/>
      </w:r>
    </w:p>
    <w:p w:rsidR="00087204" w:rsidRPr="0079632A" w:rsidRDefault="00694632" w:rsidP="00FB1808">
      <w:pPr>
        <w:tabs>
          <w:tab w:val="left" w:pos="-720"/>
          <w:tab w:val="left" w:pos="567"/>
        </w:tabs>
        <w:spacing w:line="360" w:lineRule="auto"/>
        <w:jc w:val="both"/>
        <w:rPr>
          <w:rFonts w:asciiTheme="minorHAnsi" w:hAnsiTheme="minorHAnsi" w:cstheme="minorHAnsi"/>
          <w:color w:val="000000" w:themeColor="text1"/>
          <w:spacing w:val="-3"/>
          <w:sz w:val="20"/>
        </w:rPr>
      </w:pPr>
      <w:r w:rsidRPr="0079632A">
        <w:rPr>
          <w:rFonts w:asciiTheme="minorHAnsi" w:hAnsiTheme="minorHAnsi" w:cstheme="minorHAnsi"/>
          <w:color w:val="000000" w:themeColor="text1"/>
          <w:spacing w:val="-3"/>
          <w:sz w:val="20"/>
        </w:rPr>
        <w:tab/>
      </w:r>
      <w:r w:rsidR="00087204" w:rsidRPr="0079632A">
        <w:rPr>
          <w:rFonts w:asciiTheme="minorHAnsi" w:hAnsiTheme="minorHAnsi" w:cstheme="minorHAnsi"/>
          <w:color w:val="000000" w:themeColor="text1"/>
          <w:spacing w:val="-3"/>
          <w:sz w:val="20"/>
        </w:rPr>
        <w:t xml:space="preserve">El artículo 35 del código tributario señala que “Junto con sus declaraciones, los contribuyentes sujetos a la obligación de llevar contabilidad presentarán los balances y la copia de los inventarios con la firma del contador. El contribuyente podrá cumplir dicha obligación acreditando que lleva un libro de inventario, debidamente foliado y timbrado, u otro sistema autorizado por el Director Regional. El Servicio podrá exigir la presentación de otros </w:t>
      </w:r>
      <w:r w:rsidR="00087204" w:rsidRPr="0079632A">
        <w:rPr>
          <w:rFonts w:asciiTheme="minorHAnsi" w:hAnsiTheme="minorHAnsi" w:cstheme="minorHAnsi"/>
          <w:color w:val="000000" w:themeColor="text1"/>
          <w:spacing w:val="-3"/>
          <w:sz w:val="20"/>
        </w:rPr>
        <w:lastRenderedPageBreak/>
        <w:t>documentos tales como libros de contabilidad, detalle de la cuenta de pérdidas y ganancias, documentos o exposición explicativa y demás que justifiquen el monto de la renta declarada y las partidas anotadas en la contabilidad”</w:t>
      </w:r>
      <w:r w:rsidR="00E16BB5" w:rsidRPr="0079632A">
        <w:rPr>
          <w:rFonts w:asciiTheme="minorHAnsi" w:hAnsiTheme="minorHAnsi" w:cstheme="minorHAnsi"/>
          <w:color w:val="000000" w:themeColor="text1"/>
          <w:spacing w:val="-3"/>
          <w:sz w:val="20"/>
        </w:rPr>
        <w:t xml:space="preserve">. </w:t>
      </w:r>
      <w:r w:rsidR="00087204" w:rsidRPr="0079632A">
        <w:rPr>
          <w:rFonts w:asciiTheme="minorHAnsi" w:hAnsiTheme="minorHAnsi" w:cstheme="minorHAnsi"/>
          <w:color w:val="000000" w:themeColor="text1"/>
          <w:spacing w:val="-3"/>
          <w:sz w:val="20"/>
        </w:rPr>
        <w:t>Agrega que “El Director y demás funcionarios del Servicio no podrán divulgar, en forma alguna, la cuantía o fuente de las rentas, ni las pérdidas, gastos o cualesquiera dato relativos a ella, que figuren en las declaraciones obligatorias, ni permitirán que éstas o sus copias o los libros o papeles que contengan extractos o datos tomados de ellas sean conocidos por persona alguna ajena al Servicio salvo en cuanto fueren necesarios para dar cumplimiento a las disposiciones del presente Código u otras normas legales”</w:t>
      </w:r>
    </w:p>
    <w:p w:rsidR="0094189E" w:rsidRPr="0079632A" w:rsidRDefault="00087204" w:rsidP="00FB1808">
      <w:pPr>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ab/>
      </w:r>
    </w:p>
    <w:p w:rsidR="00087204" w:rsidRPr="0079632A" w:rsidRDefault="0094189E" w:rsidP="00FB1808">
      <w:pPr>
        <w:spacing w:line="360" w:lineRule="auto"/>
        <w:jc w:val="both"/>
        <w:rPr>
          <w:rFonts w:asciiTheme="minorHAnsi" w:hAnsiTheme="minorHAnsi" w:cstheme="minorHAnsi"/>
          <w:color w:val="000000" w:themeColor="text1"/>
          <w:sz w:val="20"/>
        </w:rPr>
      </w:pPr>
      <w:r w:rsidRPr="00062468">
        <w:rPr>
          <w:rFonts w:asciiTheme="minorHAnsi" w:hAnsiTheme="minorHAnsi" w:cstheme="minorHAnsi"/>
          <w:color w:val="000000" w:themeColor="text1"/>
          <w:sz w:val="20"/>
        </w:rPr>
        <w:tab/>
      </w:r>
      <w:r w:rsidR="00F1792F" w:rsidRPr="00062468">
        <w:rPr>
          <w:rFonts w:asciiTheme="minorHAnsi" w:hAnsiTheme="minorHAnsi" w:cstheme="minorHAnsi"/>
          <w:color w:val="000000" w:themeColor="text1"/>
          <w:sz w:val="20"/>
        </w:rPr>
        <w:t>Por su parte l</w:t>
      </w:r>
      <w:r w:rsidR="00087204" w:rsidRPr="00062468">
        <w:rPr>
          <w:rFonts w:asciiTheme="minorHAnsi" w:hAnsiTheme="minorHAnsi" w:cstheme="minorHAnsi"/>
          <w:color w:val="000000" w:themeColor="text1"/>
          <w:sz w:val="20"/>
        </w:rPr>
        <w:t xml:space="preserve">a Corte Suprema en sentencia de fecha 09 de octubre de 2013, señaló en su considerando décimo que: </w:t>
      </w:r>
      <w:r w:rsidR="008A2898" w:rsidRPr="00062468">
        <w:rPr>
          <w:rFonts w:asciiTheme="minorHAnsi" w:hAnsiTheme="minorHAnsi" w:cstheme="minorHAnsi"/>
          <w:color w:val="000000" w:themeColor="text1"/>
          <w:sz w:val="20"/>
        </w:rPr>
        <w:t>“……</w:t>
      </w:r>
      <w:r w:rsidR="00087204" w:rsidRPr="00062468">
        <w:rPr>
          <w:rFonts w:asciiTheme="minorHAnsi" w:hAnsiTheme="minorHAnsi" w:cstheme="minorHAnsi"/>
          <w:color w:val="000000" w:themeColor="text1"/>
          <w:sz w:val="20"/>
        </w:rPr>
        <w:t>una de las finalidades del principio de la reserva o secreto tributario es evitar que se pongan en evidencia tanto el patrimonio como el presupuesto de una determinada persona natural o jurídica, información que en el caso de un órgano del Estado, como lo es el Servicio de Impuestos Internos, tiene el carácter de pública y por ende puede ser solicitada y obtenida por quien así lo desee, careciendo de sentido hacer extensivo dicho secreto o reserva a las actuaciones que éste realice en su calidad de tal, máxime si como ya se señaló el motivo que antecede, el recurrente no indicó la razón por la que le afectaría el h</w:t>
      </w:r>
      <w:r w:rsidR="00087204" w:rsidRPr="0079632A">
        <w:rPr>
          <w:rFonts w:asciiTheme="minorHAnsi" w:hAnsiTheme="minorHAnsi" w:cstheme="minorHAnsi"/>
          <w:color w:val="000000" w:themeColor="text1"/>
          <w:sz w:val="20"/>
        </w:rPr>
        <w:t>acer pública la información que le fue solicitada por el particular que dedujo en su contra el amparo establecido en la Ley N° 20.285 “</w:t>
      </w:r>
      <w:r w:rsidR="000063AA" w:rsidRPr="0079632A">
        <w:rPr>
          <w:rStyle w:val="Refdenotaalpie"/>
          <w:rFonts w:asciiTheme="minorHAnsi" w:hAnsiTheme="minorHAnsi" w:cstheme="minorHAnsi"/>
          <w:color w:val="000000" w:themeColor="text1"/>
          <w:sz w:val="20"/>
        </w:rPr>
        <w:footnoteReference w:id="2"/>
      </w:r>
      <w:r w:rsidR="00087204" w:rsidRPr="0079632A">
        <w:rPr>
          <w:rFonts w:asciiTheme="minorHAnsi" w:hAnsiTheme="minorHAnsi" w:cstheme="minorHAnsi"/>
          <w:color w:val="000000" w:themeColor="text1"/>
          <w:sz w:val="20"/>
        </w:rPr>
        <w:t xml:space="preserve">. </w:t>
      </w:r>
    </w:p>
    <w:p w:rsidR="00087204" w:rsidRPr="0079632A" w:rsidRDefault="00087204" w:rsidP="00FB1808">
      <w:pPr>
        <w:pStyle w:val="NormalWeb"/>
        <w:shd w:val="clear" w:color="auto" w:fill="FFFFFF"/>
        <w:spacing w:line="360" w:lineRule="auto"/>
        <w:jc w:val="both"/>
        <w:rPr>
          <w:rFonts w:asciiTheme="minorHAnsi" w:hAnsiTheme="minorHAnsi" w:cstheme="minorHAnsi"/>
          <w:color w:val="000000" w:themeColor="text1"/>
          <w:sz w:val="20"/>
          <w:szCs w:val="20"/>
        </w:rPr>
      </w:pPr>
      <w:r w:rsidRPr="0079632A">
        <w:rPr>
          <w:rStyle w:val="Textoennegrita"/>
          <w:rFonts w:asciiTheme="minorHAnsi" w:hAnsiTheme="minorHAnsi" w:cstheme="minorHAnsi"/>
          <w:b w:val="0"/>
          <w:color w:val="000000" w:themeColor="text1"/>
          <w:sz w:val="20"/>
          <w:szCs w:val="20"/>
        </w:rPr>
        <w:tab/>
      </w:r>
      <w:r w:rsidR="00F1792F" w:rsidRPr="0079632A">
        <w:rPr>
          <w:rStyle w:val="Textoennegrita"/>
          <w:rFonts w:asciiTheme="minorHAnsi" w:hAnsiTheme="minorHAnsi" w:cstheme="minorHAnsi"/>
          <w:b w:val="0"/>
          <w:color w:val="000000" w:themeColor="text1"/>
          <w:sz w:val="20"/>
          <w:szCs w:val="20"/>
        </w:rPr>
        <w:t xml:space="preserve">El Servicio de Impuestos Internos mediante </w:t>
      </w:r>
      <w:r w:rsidRPr="0079632A">
        <w:rPr>
          <w:rStyle w:val="Textoennegrita"/>
          <w:rFonts w:asciiTheme="minorHAnsi" w:hAnsiTheme="minorHAnsi" w:cstheme="minorHAnsi"/>
          <w:b w:val="0"/>
          <w:color w:val="000000" w:themeColor="text1"/>
          <w:sz w:val="20"/>
          <w:szCs w:val="20"/>
        </w:rPr>
        <w:t xml:space="preserve">circular n° 43 del 24 de julio de 1998 </w:t>
      </w:r>
      <w:r w:rsidR="008A2898" w:rsidRPr="0079632A">
        <w:rPr>
          <w:rStyle w:val="Textoennegrita"/>
          <w:rFonts w:asciiTheme="minorHAnsi" w:hAnsiTheme="minorHAnsi" w:cstheme="minorHAnsi"/>
          <w:b w:val="0"/>
          <w:color w:val="000000" w:themeColor="text1"/>
          <w:sz w:val="20"/>
          <w:szCs w:val="20"/>
        </w:rPr>
        <w:t xml:space="preserve">del Servicio de Impuestos Internos </w:t>
      </w:r>
      <w:r w:rsidRPr="0079632A">
        <w:rPr>
          <w:rStyle w:val="Textoennegrita"/>
          <w:rFonts w:asciiTheme="minorHAnsi" w:hAnsiTheme="minorHAnsi" w:cstheme="minorHAnsi"/>
          <w:b w:val="0"/>
          <w:color w:val="000000" w:themeColor="text1"/>
          <w:sz w:val="20"/>
          <w:szCs w:val="20"/>
        </w:rPr>
        <w:t xml:space="preserve">que imparte instrucciones acerca de la entrega de información relativa a los contribuyentes que soliciten los tribunales de justicia y otros organismos en el </w:t>
      </w:r>
      <w:r w:rsidRPr="0079632A">
        <w:rPr>
          <w:rStyle w:val="Textoennegrita"/>
          <w:rFonts w:asciiTheme="minorHAnsi" w:hAnsiTheme="minorHAnsi" w:cstheme="minorHAnsi"/>
          <w:color w:val="000000" w:themeColor="text1"/>
          <w:sz w:val="20"/>
          <w:szCs w:val="20"/>
        </w:rPr>
        <w:t xml:space="preserve">título </w:t>
      </w:r>
      <w:r w:rsidRPr="0079632A">
        <w:rPr>
          <w:rFonts w:asciiTheme="minorHAnsi" w:hAnsiTheme="minorHAnsi" w:cstheme="minorHAnsi"/>
          <w:color w:val="000000" w:themeColor="text1"/>
          <w:sz w:val="20"/>
          <w:szCs w:val="20"/>
        </w:rPr>
        <w:t xml:space="preserve">II </w:t>
      </w:r>
      <w:r w:rsidR="00C82346" w:rsidRPr="0079632A">
        <w:rPr>
          <w:rFonts w:asciiTheme="minorHAnsi" w:hAnsiTheme="minorHAnsi" w:cstheme="minorHAnsi"/>
          <w:color w:val="000000" w:themeColor="text1"/>
          <w:sz w:val="20"/>
          <w:szCs w:val="20"/>
        </w:rPr>
        <w:t>denominado</w:t>
      </w:r>
      <w:r w:rsidRPr="0079632A">
        <w:rPr>
          <w:rFonts w:asciiTheme="minorHAnsi" w:hAnsiTheme="minorHAnsi" w:cstheme="minorHAnsi"/>
          <w:color w:val="000000" w:themeColor="text1"/>
          <w:sz w:val="20"/>
          <w:szCs w:val="20"/>
        </w:rPr>
        <w:t xml:space="preserve"> “El deber de reserva de los</w:t>
      </w:r>
      <w:r w:rsidRPr="0079632A">
        <w:rPr>
          <w:rFonts w:asciiTheme="minorHAnsi" w:hAnsiTheme="minorHAnsi" w:cstheme="minorHAnsi"/>
          <w:b/>
          <w:color w:val="000000" w:themeColor="text1"/>
          <w:sz w:val="20"/>
          <w:szCs w:val="20"/>
        </w:rPr>
        <w:t xml:space="preserve"> </w:t>
      </w:r>
      <w:r w:rsidRPr="0079632A">
        <w:rPr>
          <w:rFonts w:asciiTheme="minorHAnsi" w:hAnsiTheme="minorHAnsi" w:cstheme="minorHAnsi"/>
          <w:color w:val="000000" w:themeColor="text1"/>
          <w:sz w:val="20"/>
          <w:szCs w:val="20"/>
        </w:rPr>
        <w:t>antecedentes tributarios”  señala que  tal deber “Consiste en la obligación que gravita sobre todos los funcionarios, que con motivo del cargo público que desempeñan, acceden al conocimiento de datos o antecedentes de índole tributaria de los contribuyentes, de no revelarlos o hacerlos públicos, salvo las excepciones legales”  Agrega al respecto que “El artículo 35º del Código Tributario, en su inciso segundo, establece para todos los funcionarios del Servicio la obligación de no divulgar, en forma alguna, la cuantía o fuente de las rentas, ni las pérdidas, gastos o cualesquiera dato relativos a ella, que figuren en las declaraciones obligatorias presentadas por los contribuyentes, ni permitir que éstas o sus copias o los libros o papeles que contengan extractos o datos tomados de ellas sean conocidos por persona alguna ajena al Servicio, salvo en cuanto fueren necesarios para dar cumplimiento a las disposiciones del mismo Código Tributario o a otras normas legales”  Finalmente dice que “El secreto o reserva está referido a los datos contenidos en las declaraciones obligatorias que deben presentar los contribuyentes al Servicio, relativos a la cuantía de las rentas, su fuente, pérdidas, gastos o cualquiera otro ant</w:t>
      </w:r>
      <w:r w:rsidR="000063AA" w:rsidRPr="0079632A">
        <w:rPr>
          <w:rFonts w:asciiTheme="minorHAnsi" w:hAnsiTheme="minorHAnsi" w:cstheme="minorHAnsi"/>
          <w:color w:val="000000" w:themeColor="text1"/>
          <w:sz w:val="20"/>
          <w:szCs w:val="20"/>
        </w:rPr>
        <w:t>ecedente referido a las rentas”</w:t>
      </w:r>
      <w:r w:rsidR="000063AA" w:rsidRPr="0079632A">
        <w:rPr>
          <w:rStyle w:val="Refdenotaalpie"/>
          <w:rFonts w:asciiTheme="minorHAnsi" w:hAnsiTheme="minorHAnsi" w:cstheme="minorHAnsi"/>
          <w:color w:val="000000" w:themeColor="text1"/>
          <w:sz w:val="20"/>
          <w:szCs w:val="20"/>
        </w:rPr>
        <w:footnoteReference w:id="3"/>
      </w:r>
    </w:p>
    <w:p w:rsidR="00087204" w:rsidRPr="0079632A" w:rsidRDefault="00087204" w:rsidP="00FB1808">
      <w:pPr>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lastRenderedPageBreak/>
        <w:tab/>
      </w:r>
      <w:r w:rsidR="00062468">
        <w:rPr>
          <w:rFonts w:asciiTheme="minorHAnsi" w:hAnsiTheme="minorHAnsi" w:cstheme="minorHAnsi"/>
          <w:color w:val="000000" w:themeColor="text1"/>
          <w:sz w:val="20"/>
        </w:rPr>
        <w:t xml:space="preserve">En 2012 el </w:t>
      </w:r>
      <w:r w:rsidR="002655D7" w:rsidRPr="0079632A">
        <w:rPr>
          <w:rFonts w:asciiTheme="minorHAnsi" w:hAnsiTheme="minorHAnsi" w:cstheme="minorHAnsi"/>
          <w:color w:val="000000" w:themeColor="text1"/>
          <w:sz w:val="20"/>
        </w:rPr>
        <w:t>T</w:t>
      </w:r>
      <w:r w:rsidRPr="0079632A">
        <w:rPr>
          <w:rFonts w:asciiTheme="minorHAnsi" w:hAnsiTheme="minorHAnsi" w:cstheme="minorHAnsi"/>
          <w:color w:val="000000" w:themeColor="text1"/>
          <w:sz w:val="20"/>
        </w:rPr>
        <w:t xml:space="preserve">esorero General de la República solicitó al Director del Servicio de Impuestos Internos, que en virtud de su facultad de interpretar administrativamente la norma tributaria, se pronunciara sobre la aplicabilidad del artículo 35 del Código Tributario a los funcionarios del Servicio de Tesorerías, interpretación que fue entregada mediante el oficio ordinario N° 481, de 24 de febrero de 2012, donde señala “…la prohibición de divulgar la información que menciona la norma, sólo concierne al Director y a los demás funcionarios del servicio de Impuestos Internos, lo que no obsta a que la entrega de la información solicitada pueda encontrarse restringida en otras normas legales.” </w:t>
      </w:r>
      <w:r w:rsidR="000063AA" w:rsidRPr="0079632A">
        <w:rPr>
          <w:rStyle w:val="Refdenotaalpie"/>
          <w:rFonts w:asciiTheme="minorHAnsi" w:hAnsiTheme="minorHAnsi" w:cstheme="minorHAnsi"/>
          <w:color w:val="000000" w:themeColor="text1"/>
          <w:sz w:val="20"/>
        </w:rPr>
        <w:footnoteReference w:id="4"/>
      </w:r>
    </w:p>
    <w:p w:rsidR="00087204" w:rsidRPr="0079632A" w:rsidRDefault="00087204" w:rsidP="00FB1808">
      <w:pPr>
        <w:pStyle w:val="Textoindependiente"/>
        <w:spacing w:line="360" w:lineRule="auto"/>
        <w:jc w:val="both"/>
        <w:rPr>
          <w:rStyle w:val="hps"/>
          <w:rFonts w:asciiTheme="minorHAnsi" w:hAnsiTheme="minorHAnsi" w:cstheme="minorHAnsi"/>
          <w:b/>
          <w:color w:val="000000" w:themeColor="text1"/>
          <w:sz w:val="20"/>
          <w:u w:val="single"/>
        </w:rPr>
      </w:pPr>
    </w:p>
    <w:p w:rsidR="00F1792F" w:rsidRPr="0079632A" w:rsidRDefault="003070E7" w:rsidP="00FB1808">
      <w:pPr>
        <w:pStyle w:val="Textoindependiente"/>
        <w:spacing w:line="360" w:lineRule="auto"/>
        <w:jc w:val="both"/>
        <w:rPr>
          <w:rFonts w:asciiTheme="minorHAnsi" w:hAnsiTheme="minorHAnsi" w:cstheme="minorHAnsi"/>
          <w:color w:val="000000" w:themeColor="text1"/>
          <w:spacing w:val="-3"/>
          <w:sz w:val="20"/>
        </w:rPr>
      </w:pPr>
      <w:r>
        <w:rPr>
          <w:rStyle w:val="hps"/>
          <w:rFonts w:asciiTheme="minorHAnsi" w:hAnsiTheme="minorHAnsi" w:cstheme="minorHAnsi"/>
          <w:color w:val="000000" w:themeColor="text1"/>
          <w:sz w:val="20"/>
        </w:rPr>
        <w:t>Es</w:t>
      </w:r>
      <w:r w:rsidRPr="003070E7">
        <w:rPr>
          <w:rStyle w:val="hps"/>
          <w:rFonts w:asciiTheme="minorHAnsi" w:hAnsiTheme="minorHAnsi" w:cstheme="minorHAnsi"/>
          <w:color w:val="000000" w:themeColor="text1"/>
          <w:sz w:val="20"/>
        </w:rPr>
        <w:t xml:space="preserve"> así, que el </w:t>
      </w:r>
      <w:r w:rsidR="00F1792F" w:rsidRPr="0079632A">
        <w:rPr>
          <w:rStyle w:val="hps"/>
          <w:rFonts w:asciiTheme="minorHAnsi" w:hAnsiTheme="minorHAnsi" w:cstheme="minorHAnsi"/>
          <w:color w:val="000000" w:themeColor="text1"/>
          <w:sz w:val="20"/>
        </w:rPr>
        <w:t>secreto tributario dice relación con la declaración de renta, su contenido y los documentos que los contribuyentes ponen a disposición del servicio j</w:t>
      </w:r>
      <w:r w:rsidR="00F1792F" w:rsidRPr="0079632A">
        <w:rPr>
          <w:rFonts w:asciiTheme="minorHAnsi" w:hAnsiTheme="minorHAnsi" w:cstheme="minorHAnsi"/>
          <w:color w:val="000000" w:themeColor="text1"/>
          <w:spacing w:val="-3"/>
          <w:sz w:val="20"/>
        </w:rPr>
        <w:t xml:space="preserve">unto con sus declaraciones, tales como </w:t>
      </w:r>
      <w:r w:rsidR="005D7936" w:rsidRPr="0079632A">
        <w:rPr>
          <w:rFonts w:asciiTheme="minorHAnsi" w:hAnsiTheme="minorHAnsi" w:cstheme="minorHAnsi"/>
          <w:color w:val="000000" w:themeColor="text1"/>
          <w:spacing w:val="-3"/>
          <w:sz w:val="20"/>
        </w:rPr>
        <w:t xml:space="preserve">libros de </w:t>
      </w:r>
      <w:r w:rsidR="00471EA4" w:rsidRPr="0079632A">
        <w:rPr>
          <w:rFonts w:asciiTheme="minorHAnsi" w:hAnsiTheme="minorHAnsi" w:cstheme="minorHAnsi"/>
          <w:color w:val="000000" w:themeColor="text1"/>
          <w:spacing w:val="-3"/>
          <w:sz w:val="20"/>
        </w:rPr>
        <w:t>contabilidad, balances</w:t>
      </w:r>
      <w:r w:rsidR="00F1792F" w:rsidRPr="0079632A">
        <w:rPr>
          <w:rFonts w:asciiTheme="minorHAnsi" w:hAnsiTheme="minorHAnsi" w:cstheme="minorHAnsi"/>
          <w:color w:val="000000" w:themeColor="text1"/>
          <w:spacing w:val="-3"/>
          <w:sz w:val="20"/>
        </w:rPr>
        <w:t xml:space="preserve"> </w:t>
      </w:r>
      <w:r w:rsidR="00471EA4" w:rsidRPr="0079632A">
        <w:rPr>
          <w:rFonts w:asciiTheme="minorHAnsi" w:hAnsiTheme="minorHAnsi" w:cstheme="minorHAnsi"/>
          <w:color w:val="000000" w:themeColor="text1"/>
          <w:spacing w:val="-3"/>
          <w:sz w:val="20"/>
        </w:rPr>
        <w:t>e inventarios</w:t>
      </w:r>
      <w:r w:rsidR="00F1792F" w:rsidRPr="0079632A">
        <w:rPr>
          <w:rFonts w:asciiTheme="minorHAnsi" w:hAnsiTheme="minorHAnsi" w:cstheme="minorHAnsi"/>
          <w:color w:val="000000" w:themeColor="text1"/>
          <w:spacing w:val="-3"/>
          <w:sz w:val="20"/>
        </w:rPr>
        <w:t>, detalle de la cuenta de pérdidas y ganancias, documentos o exposición explicativa y demás que justifiquen el monto de la renta declarada y las partidas anotadas en la contabilidad.</w:t>
      </w:r>
    </w:p>
    <w:p w:rsidR="00F5414D" w:rsidRPr="0079632A" w:rsidRDefault="00F5414D" w:rsidP="00FB1808">
      <w:pPr>
        <w:pStyle w:val="NormalWeb"/>
        <w:shd w:val="clear" w:color="auto" w:fill="FFFFFF"/>
        <w:spacing w:line="360" w:lineRule="auto"/>
        <w:jc w:val="both"/>
        <w:rPr>
          <w:rFonts w:asciiTheme="minorHAnsi" w:hAnsiTheme="minorHAnsi" w:cstheme="minorHAnsi"/>
          <w:color w:val="000000" w:themeColor="text1"/>
          <w:sz w:val="20"/>
          <w:szCs w:val="20"/>
        </w:rPr>
      </w:pPr>
      <w:r w:rsidRPr="0079632A">
        <w:rPr>
          <w:rFonts w:asciiTheme="minorHAnsi" w:hAnsiTheme="minorHAnsi" w:cstheme="minorHAnsi"/>
          <w:color w:val="000000" w:themeColor="text1"/>
          <w:spacing w:val="-3"/>
          <w:sz w:val="20"/>
          <w:szCs w:val="20"/>
        </w:rPr>
        <w:tab/>
        <w:t xml:space="preserve">El secreto tributario </w:t>
      </w:r>
      <w:r w:rsidRPr="0079632A">
        <w:rPr>
          <w:rFonts w:asciiTheme="minorHAnsi" w:hAnsiTheme="minorHAnsi" w:cstheme="minorHAnsi"/>
          <w:color w:val="000000" w:themeColor="text1"/>
          <w:sz w:val="20"/>
          <w:szCs w:val="20"/>
        </w:rPr>
        <w:t xml:space="preserve">está </w:t>
      </w:r>
      <w:r w:rsidR="00062468">
        <w:rPr>
          <w:rFonts w:asciiTheme="minorHAnsi" w:hAnsiTheme="minorHAnsi" w:cstheme="minorHAnsi"/>
          <w:color w:val="000000" w:themeColor="text1"/>
          <w:sz w:val="20"/>
          <w:szCs w:val="20"/>
        </w:rPr>
        <w:t xml:space="preserve">–además- </w:t>
      </w:r>
      <w:r w:rsidRPr="0079632A">
        <w:rPr>
          <w:rFonts w:asciiTheme="minorHAnsi" w:hAnsiTheme="minorHAnsi" w:cstheme="minorHAnsi"/>
          <w:color w:val="000000" w:themeColor="text1"/>
          <w:sz w:val="20"/>
          <w:szCs w:val="20"/>
        </w:rPr>
        <w:t>referido a los datos contenidos en las declaraciones obligatorias que deben presentar los contribuyentes al Servicio, relativos a la cuantía de las rentas, su fuente, pérdidas, gastos o cualquiera otro ant</w:t>
      </w:r>
      <w:r w:rsidR="005D7936" w:rsidRPr="0079632A">
        <w:rPr>
          <w:rFonts w:asciiTheme="minorHAnsi" w:hAnsiTheme="minorHAnsi" w:cstheme="minorHAnsi"/>
          <w:color w:val="000000" w:themeColor="text1"/>
          <w:sz w:val="20"/>
          <w:szCs w:val="20"/>
        </w:rPr>
        <w:t>ecedente referido a las rentas</w:t>
      </w:r>
      <w:r w:rsidRPr="0079632A">
        <w:rPr>
          <w:rFonts w:asciiTheme="minorHAnsi" w:hAnsiTheme="minorHAnsi" w:cstheme="minorHAnsi"/>
          <w:color w:val="000000" w:themeColor="text1"/>
          <w:sz w:val="20"/>
          <w:szCs w:val="20"/>
        </w:rPr>
        <w:t>.</w:t>
      </w:r>
    </w:p>
    <w:p w:rsidR="00F1792F" w:rsidRPr="0079632A" w:rsidRDefault="00F1792F" w:rsidP="00FB1808">
      <w:pPr>
        <w:tabs>
          <w:tab w:val="left" w:pos="-720"/>
          <w:tab w:val="left" w:pos="567"/>
        </w:tabs>
        <w:spacing w:line="360" w:lineRule="auto"/>
        <w:jc w:val="both"/>
        <w:rPr>
          <w:rFonts w:asciiTheme="minorHAnsi" w:hAnsiTheme="minorHAnsi" w:cstheme="minorHAnsi"/>
          <w:color w:val="000000" w:themeColor="text1"/>
          <w:spacing w:val="-3"/>
          <w:sz w:val="20"/>
        </w:rPr>
      </w:pPr>
      <w:r w:rsidRPr="0079632A">
        <w:rPr>
          <w:rFonts w:asciiTheme="minorHAnsi" w:hAnsiTheme="minorHAnsi" w:cstheme="minorHAnsi"/>
          <w:color w:val="000000" w:themeColor="text1"/>
          <w:spacing w:val="-3"/>
          <w:sz w:val="20"/>
        </w:rPr>
        <w:tab/>
        <w:t xml:space="preserve">Respecto a esa documentación </w:t>
      </w:r>
      <w:r w:rsidR="00062468">
        <w:rPr>
          <w:rFonts w:asciiTheme="minorHAnsi" w:hAnsiTheme="minorHAnsi" w:cstheme="minorHAnsi"/>
          <w:color w:val="000000" w:themeColor="text1"/>
          <w:spacing w:val="-3"/>
          <w:sz w:val="20"/>
        </w:rPr>
        <w:t xml:space="preserve">son </w:t>
      </w:r>
      <w:r w:rsidRPr="0079632A">
        <w:rPr>
          <w:rFonts w:asciiTheme="minorHAnsi" w:hAnsiTheme="minorHAnsi" w:cstheme="minorHAnsi"/>
          <w:color w:val="000000" w:themeColor="text1"/>
          <w:spacing w:val="-3"/>
          <w:sz w:val="20"/>
        </w:rPr>
        <w:t xml:space="preserve">el </w:t>
      </w:r>
      <w:r w:rsidR="00471EA4" w:rsidRPr="0079632A">
        <w:rPr>
          <w:rFonts w:asciiTheme="minorHAnsi" w:hAnsiTheme="minorHAnsi" w:cstheme="minorHAnsi"/>
          <w:color w:val="000000" w:themeColor="text1"/>
          <w:spacing w:val="-3"/>
          <w:sz w:val="20"/>
        </w:rPr>
        <w:t>director</w:t>
      </w:r>
      <w:r w:rsidRPr="0079632A">
        <w:rPr>
          <w:rFonts w:asciiTheme="minorHAnsi" w:hAnsiTheme="minorHAnsi" w:cstheme="minorHAnsi"/>
          <w:color w:val="000000" w:themeColor="text1"/>
          <w:spacing w:val="-3"/>
          <w:sz w:val="20"/>
        </w:rPr>
        <w:t xml:space="preserve"> y demás funcionarios del Servicio </w:t>
      </w:r>
      <w:r w:rsidR="0017767B" w:rsidRPr="0079632A">
        <w:rPr>
          <w:rFonts w:asciiTheme="minorHAnsi" w:hAnsiTheme="minorHAnsi" w:cstheme="minorHAnsi"/>
          <w:color w:val="000000" w:themeColor="text1"/>
          <w:spacing w:val="-3"/>
          <w:sz w:val="20"/>
        </w:rPr>
        <w:t xml:space="preserve">de Impuestos Internos </w:t>
      </w:r>
      <w:r w:rsidR="007967B9">
        <w:rPr>
          <w:rFonts w:asciiTheme="minorHAnsi" w:hAnsiTheme="minorHAnsi" w:cstheme="minorHAnsi"/>
          <w:color w:val="000000" w:themeColor="text1"/>
          <w:spacing w:val="-3"/>
          <w:sz w:val="20"/>
        </w:rPr>
        <w:t xml:space="preserve">quienes </w:t>
      </w:r>
      <w:r w:rsidRPr="0079632A">
        <w:rPr>
          <w:rFonts w:asciiTheme="minorHAnsi" w:hAnsiTheme="minorHAnsi" w:cstheme="minorHAnsi"/>
          <w:color w:val="000000" w:themeColor="text1"/>
          <w:spacing w:val="-3"/>
          <w:sz w:val="20"/>
        </w:rPr>
        <w:t>tienen la obligación de reserva y secreto.</w:t>
      </w:r>
    </w:p>
    <w:p w:rsidR="0017767B" w:rsidRPr="0079632A" w:rsidRDefault="0017767B" w:rsidP="00FB1808">
      <w:pPr>
        <w:tabs>
          <w:tab w:val="left" w:pos="-720"/>
          <w:tab w:val="left" w:pos="567"/>
        </w:tabs>
        <w:spacing w:line="360" w:lineRule="auto"/>
        <w:jc w:val="both"/>
        <w:rPr>
          <w:rFonts w:asciiTheme="minorHAnsi" w:hAnsiTheme="minorHAnsi" w:cstheme="minorHAnsi"/>
          <w:color w:val="000000" w:themeColor="text1"/>
          <w:spacing w:val="-3"/>
          <w:sz w:val="20"/>
        </w:rPr>
      </w:pPr>
    </w:p>
    <w:p w:rsidR="00F1792F" w:rsidRPr="00062468" w:rsidRDefault="00F1792F" w:rsidP="00FB1808">
      <w:pPr>
        <w:tabs>
          <w:tab w:val="left" w:pos="-720"/>
          <w:tab w:val="left" w:pos="567"/>
        </w:tabs>
        <w:spacing w:line="360" w:lineRule="auto"/>
        <w:jc w:val="both"/>
        <w:rPr>
          <w:rFonts w:asciiTheme="minorHAnsi" w:hAnsiTheme="minorHAnsi" w:cstheme="minorHAnsi"/>
          <w:color w:val="000000" w:themeColor="text1"/>
          <w:sz w:val="20"/>
        </w:rPr>
      </w:pPr>
      <w:r w:rsidRPr="00062468">
        <w:rPr>
          <w:rFonts w:asciiTheme="minorHAnsi" w:hAnsiTheme="minorHAnsi" w:cstheme="minorHAnsi"/>
          <w:color w:val="000000" w:themeColor="text1"/>
          <w:spacing w:val="-3"/>
          <w:sz w:val="20"/>
        </w:rPr>
        <w:tab/>
        <w:t>La finalidad del secreto tributario es</w:t>
      </w:r>
      <w:r w:rsidRPr="00062468">
        <w:rPr>
          <w:rFonts w:asciiTheme="minorHAnsi" w:hAnsiTheme="minorHAnsi" w:cstheme="minorHAnsi"/>
          <w:color w:val="000000" w:themeColor="text1"/>
          <w:sz w:val="20"/>
        </w:rPr>
        <w:t xml:space="preserve"> evitar que se pongan en evidencia tanto el patrimonio como el presupuesto de una determinada persona natural o jurídica, y que la información solo sea usada para </w:t>
      </w:r>
      <w:r w:rsidR="00F5414D" w:rsidRPr="00062468">
        <w:rPr>
          <w:rFonts w:asciiTheme="minorHAnsi" w:hAnsiTheme="minorHAnsi" w:cstheme="minorHAnsi"/>
          <w:color w:val="000000" w:themeColor="text1"/>
          <w:sz w:val="20"/>
        </w:rPr>
        <w:t xml:space="preserve">el cumplimiento de </w:t>
      </w:r>
      <w:r w:rsidRPr="00062468">
        <w:rPr>
          <w:rFonts w:asciiTheme="minorHAnsi" w:hAnsiTheme="minorHAnsi" w:cstheme="minorHAnsi"/>
          <w:color w:val="000000" w:themeColor="text1"/>
          <w:sz w:val="20"/>
        </w:rPr>
        <w:t xml:space="preserve">los fines </w:t>
      </w:r>
      <w:r w:rsidR="00F5414D" w:rsidRPr="00062468">
        <w:rPr>
          <w:rFonts w:asciiTheme="minorHAnsi" w:hAnsiTheme="minorHAnsi" w:cstheme="minorHAnsi"/>
          <w:color w:val="000000" w:themeColor="text1"/>
          <w:sz w:val="20"/>
        </w:rPr>
        <w:t>del Servicio de Impuestos Internos</w:t>
      </w:r>
    </w:p>
    <w:p w:rsidR="0081600D" w:rsidRPr="0079632A" w:rsidRDefault="0081600D" w:rsidP="00FB1808">
      <w:pPr>
        <w:pStyle w:val="Textoindependiente"/>
        <w:spacing w:line="360" w:lineRule="auto"/>
        <w:jc w:val="both"/>
        <w:rPr>
          <w:rStyle w:val="hps"/>
          <w:rFonts w:asciiTheme="minorHAnsi" w:hAnsiTheme="minorHAnsi" w:cstheme="minorHAnsi"/>
          <w:b/>
          <w:color w:val="000000" w:themeColor="text1"/>
          <w:sz w:val="20"/>
          <w:u w:val="single"/>
        </w:rPr>
      </w:pPr>
    </w:p>
    <w:p w:rsidR="00087204" w:rsidRPr="00062468" w:rsidRDefault="007967B9" w:rsidP="00FB1808">
      <w:pPr>
        <w:pStyle w:val="Textoindependiente"/>
        <w:spacing w:line="360" w:lineRule="auto"/>
        <w:jc w:val="both"/>
        <w:rPr>
          <w:rStyle w:val="hps"/>
          <w:rFonts w:asciiTheme="minorHAnsi" w:hAnsiTheme="minorHAnsi" w:cstheme="minorHAnsi"/>
          <w:b/>
          <w:color w:val="000000" w:themeColor="text1"/>
          <w:sz w:val="20"/>
          <w:u w:val="single"/>
        </w:rPr>
      </w:pPr>
      <w:r w:rsidRPr="00062468">
        <w:rPr>
          <w:rStyle w:val="hps"/>
          <w:rFonts w:asciiTheme="minorHAnsi" w:hAnsiTheme="minorHAnsi" w:cstheme="minorHAnsi"/>
          <w:b/>
          <w:color w:val="000000" w:themeColor="text1"/>
          <w:sz w:val="20"/>
          <w:u w:val="single"/>
        </w:rPr>
        <w:t>Se debe revisar entonces el contenido de los expedientes de requerimientos administrativos a fin de determinar si contiene alguna de las materias sujetas a reserva.</w:t>
      </w:r>
    </w:p>
    <w:p w:rsidR="000063AA" w:rsidRPr="0079632A" w:rsidRDefault="000063AA" w:rsidP="00FB1808">
      <w:pPr>
        <w:pStyle w:val="Textoindependiente"/>
        <w:spacing w:line="360" w:lineRule="auto"/>
        <w:jc w:val="both"/>
        <w:rPr>
          <w:rFonts w:asciiTheme="minorHAnsi" w:hAnsiTheme="minorHAnsi" w:cstheme="minorHAnsi"/>
          <w:color w:val="000000" w:themeColor="text1"/>
          <w:spacing w:val="-3"/>
          <w:sz w:val="20"/>
        </w:rPr>
      </w:pPr>
      <w:r w:rsidRPr="0079632A">
        <w:rPr>
          <w:rFonts w:asciiTheme="minorHAnsi" w:hAnsiTheme="minorHAnsi" w:cstheme="minorHAnsi"/>
          <w:color w:val="000000" w:themeColor="text1"/>
          <w:spacing w:val="-3"/>
          <w:sz w:val="20"/>
        </w:rPr>
        <w:tab/>
      </w:r>
    </w:p>
    <w:p w:rsidR="0017767B" w:rsidRPr="0079632A" w:rsidRDefault="00A46A2E" w:rsidP="00FB1808">
      <w:pPr>
        <w:pStyle w:val="Textoindependiente"/>
        <w:spacing w:line="360" w:lineRule="auto"/>
        <w:jc w:val="both"/>
        <w:rPr>
          <w:rStyle w:val="hps"/>
          <w:rFonts w:asciiTheme="minorHAnsi" w:hAnsiTheme="minorHAnsi" w:cstheme="minorHAnsi"/>
          <w:color w:val="000000" w:themeColor="text1"/>
          <w:sz w:val="20"/>
        </w:rPr>
      </w:pPr>
      <w:r w:rsidRPr="0079632A">
        <w:rPr>
          <w:rFonts w:asciiTheme="minorHAnsi" w:hAnsiTheme="minorHAnsi" w:cstheme="minorHAnsi"/>
          <w:color w:val="000000" w:themeColor="text1"/>
          <w:spacing w:val="-3"/>
          <w:sz w:val="20"/>
        </w:rPr>
        <w:t>De conformidad a lo dispuesto en los artículos</w:t>
      </w:r>
      <w:r w:rsidR="0017767B" w:rsidRPr="0079632A">
        <w:rPr>
          <w:rFonts w:asciiTheme="minorHAnsi" w:hAnsiTheme="minorHAnsi" w:cstheme="minorHAnsi"/>
          <w:color w:val="000000" w:themeColor="text1"/>
          <w:spacing w:val="-3"/>
          <w:sz w:val="20"/>
        </w:rPr>
        <w:t xml:space="preserve"> </w:t>
      </w:r>
      <w:r w:rsidRPr="0079632A">
        <w:rPr>
          <w:rStyle w:val="hps"/>
          <w:rFonts w:asciiTheme="minorHAnsi" w:hAnsiTheme="minorHAnsi" w:cstheme="minorHAnsi"/>
          <w:color w:val="000000" w:themeColor="text1"/>
          <w:sz w:val="20"/>
        </w:rPr>
        <w:t>169, 170, 171, 178</w:t>
      </w:r>
      <w:r w:rsidR="007967B9" w:rsidRPr="0079632A">
        <w:rPr>
          <w:rStyle w:val="hps"/>
          <w:rFonts w:asciiTheme="minorHAnsi" w:hAnsiTheme="minorHAnsi" w:cstheme="minorHAnsi"/>
          <w:color w:val="000000" w:themeColor="text1"/>
          <w:sz w:val="20"/>
        </w:rPr>
        <w:t>, 179</w:t>
      </w:r>
      <w:r w:rsidRPr="0079632A">
        <w:rPr>
          <w:rStyle w:val="hps"/>
          <w:rFonts w:asciiTheme="minorHAnsi" w:hAnsiTheme="minorHAnsi" w:cstheme="minorHAnsi"/>
          <w:color w:val="000000" w:themeColor="text1"/>
          <w:sz w:val="20"/>
        </w:rPr>
        <w:t>, 180, 185</w:t>
      </w:r>
      <w:r w:rsidR="0017767B" w:rsidRPr="0079632A">
        <w:rPr>
          <w:rStyle w:val="hps"/>
          <w:rFonts w:asciiTheme="minorHAnsi" w:hAnsiTheme="minorHAnsi" w:cstheme="minorHAnsi"/>
          <w:color w:val="000000" w:themeColor="text1"/>
          <w:sz w:val="20"/>
        </w:rPr>
        <w:t xml:space="preserve"> del código tributario </w:t>
      </w:r>
      <w:r w:rsidR="000063AA" w:rsidRPr="0079632A">
        <w:rPr>
          <w:rStyle w:val="hps"/>
          <w:rFonts w:asciiTheme="minorHAnsi" w:hAnsiTheme="minorHAnsi" w:cstheme="minorHAnsi"/>
          <w:color w:val="000000" w:themeColor="text1"/>
          <w:sz w:val="20"/>
        </w:rPr>
        <w:t>se puede colegir lo siguiente.</w:t>
      </w:r>
    </w:p>
    <w:p w:rsidR="000063AA" w:rsidRPr="0079632A" w:rsidRDefault="000063AA" w:rsidP="00FB1808">
      <w:pPr>
        <w:pStyle w:val="Textoindependiente"/>
        <w:spacing w:line="360" w:lineRule="auto"/>
        <w:jc w:val="both"/>
        <w:rPr>
          <w:rStyle w:val="hps"/>
          <w:rFonts w:asciiTheme="minorHAnsi" w:hAnsiTheme="minorHAnsi" w:cstheme="minorHAnsi"/>
          <w:color w:val="000000" w:themeColor="text1"/>
          <w:sz w:val="20"/>
        </w:rPr>
      </w:pPr>
    </w:p>
    <w:p w:rsidR="00F5414D" w:rsidRPr="0079632A" w:rsidRDefault="00A46A2E" w:rsidP="00FB1808">
      <w:pPr>
        <w:pStyle w:val="Textoindependiente"/>
        <w:spacing w:line="360" w:lineRule="auto"/>
        <w:jc w:val="both"/>
        <w:rPr>
          <w:rFonts w:asciiTheme="minorHAnsi" w:hAnsiTheme="minorHAnsi" w:cstheme="minorHAnsi"/>
          <w:color w:val="000000" w:themeColor="text1"/>
          <w:spacing w:val="-3"/>
          <w:sz w:val="20"/>
        </w:rPr>
      </w:pPr>
      <w:r w:rsidRPr="0079632A">
        <w:rPr>
          <w:rFonts w:asciiTheme="minorHAnsi" w:hAnsiTheme="minorHAnsi" w:cstheme="minorHAnsi"/>
          <w:b/>
          <w:color w:val="000000" w:themeColor="text1"/>
          <w:spacing w:val="-3"/>
          <w:sz w:val="20"/>
        </w:rPr>
        <w:tab/>
      </w:r>
      <w:r w:rsidR="00F5414D" w:rsidRPr="0079632A">
        <w:rPr>
          <w:rFonts w:asciiTheme="minorHAnsi" w:hAnsiTheme="minorHAnsi" w:cstheme="minorHAnsi"/>
          <w:color w:val="000000" w:themeColor="text1"/>
          <w:spacing w:val="-3"/>
          <w:sz w:val="20"/>
        </w:rPr>
        <w:t xml:space="preserve">Los expedientes administrativos contienen la misma información </w:t>
      </w:r>
      <w:r w:rsidR="00471EA4" w:rsidRPr="0079632A">
        <w:rPr>
          <w:rFonts w:asciiTheme="minorHAnsi" w:hAnsiTheme="minorHAnsi" w:cstheme="minorHAnsi"/>
          <w:color w:val="000000" w:themeColor="text1"/>
          <w:spacing w:val="-3"/>
          <w:sz w:val="20"/>
        </w:rPr>
        <w:t>que cualquier</w:t>
      </w:r>
      <w:r w:rsidR="00F5414D" w:rsidRPr="0079632A">
        <w:rPr>
          <w:rFonts w:asciiTheme="minorHAnsi" w:hAnsiTheme="minorHAnsi" w:cstheme="minorHAnsi"/>
          <w:color w:val="000000" w:themeColor="text1"/>
          <w:spacing w:val="-3"/>
          <w:sz w:val="20"/>
        </w:rPr>
        <w:t xml:space="preserve"> otra demanda ejecutiva.  Es decir</w:t>
      </w:r>
      <w:r w:rsidR="00694632" w:rsidRPr="0079632A">
        <w:rPr>
          <w:rFonts w:asciiTheme="minorHAnsi" w:hAnsiTheme="minorHAnsi" w:cstheme="minorHAnsi"/>
          <w:color w:val="000000" w:themeColor="text1"/>
          <w:spacing w:val="-3"/>
          <w:sz w:val="20"/>
        </w:rPr>
        <w:t>,</w:t>
      </w:r>
      <w:r w:rsidR="00F5414D" w:rsidRPr="0079632A">
        <w:rPr>
          <w:rFonts w:asciiTheme="minorHAnsi" w:hAnsiTheme="minorHAnsi" w:cstheme="minorHAnsi"/>
          <w:color w:val="000000" w:themeColor="text1"/>
          <w:spacing w:val="-3"/>
          <w:sz w:val="20"/>
        </w:rPr>
        <w:t xml:space="preserve"> un título ejecutivo con especificación del período y de la cantidad adeudada, mandamiento de ejecución y embargo, la individualización del deudor con su nombre, domicilio, rut, y en caso de realizarse un embargo va a contener además la individualización de los bienes embargados. </w:t>
      </w:r>
    </w:p>
    <w:p w:rsidR="00694632" w:rsidRPr="0079632A" w:rsidRDefault="00A46A2E" w:rsidP="00FB1808">
      <w:pPr>
        <w:tabs>
          <w:tab w:val="left" w:pos="-720"/>
          <w:tab w:val="left" w:pos="567"/>
        </w:tabs>
        <w:spacing w:line="360" w:lineRule="auto"/>
        <w:jc w:val="both"/>
        <w:rPr>
          <w:rFonts w:asciiTheme="minorHAnsi" w:hAnsiTheme="minorHAnsi" w:cstheme="minorHAnsi"/>
          <w:color w:val="000000" w:themeColor="text1"/>
          <w:spacing w:val="-3"/>
          <w:sz w:val="20"/>
        </w:rPr>
      </w:pPr>
      <w:r w:rsidRPr="0079632A">
        <w:rPr>
          <w:rFonts w:asciiTheme="minorHAnsi" w:hAnsiTheme="minorHAnsi" w:cstheme="minorHAnsi"/>
          <w:color w:val="000000" w:themeColor="text1"/>
          <w:spacing w:val="-3"/>
          <w:sz w:val="20"/>
        </w:rPr>
        <w:tab/>
      </w:r>
    </w:p>
    <w:p w:rsidR="00521179" w:rsidRPr="0079632A" w:rsidRDefault="00521179" w:rsidP="00FB1808">
      <w:pPr>
        <w:tabs>
          <w:tab w:val="left" w:pos="-720"/>
          <w:tab w:val="left" w:pos="567"/>
        </w:tabs>
        <w:spacing w:line="360" w:lineRule="auto"/>
        <w:jc w:val="both"/>
        <w:rPr>
          <w:rFonts w:asciiTheme="minorHAnsi" w:hAnsiTheme="minorHAnsi" w:cstheme="minorHAnsi"/>
          <w:color w:val="000000" w:themeColor="text1"/>
          <w:spacing w:val="-3"/>
          <w:sz w:val="20"/>
        </w:rPr>
      </w:pPr>
      <w:r w:rsidRPr="0079632A">
        <w:rPr>
          <w:rFonts w:asciiTheme="minorHAnsi" w:hAnsiTheme="minorHAnsi" w:cstheme="minorHAnsi"/>
          <w:color w:val="000000" w:themeColor="text1"/>
          <w:spacing w:val="-3"/>
          <w:sz w:val="20"/>
        </w:rPr>
        <w:tab/>
      </w:r>
      <w:r w:rsidR="0099410A" w:rsidRPr="0079632A">
        <w:rPr>
          <w:rFonts w:asciiTheme="minorHAnsi" w:hAnsiTheme="minorHAnsi" w:cstheme="minorHAnsi"/>
          <w:color w:val="000000" w:themeColor="text1"/>
          <w:spacing w:val="-3"/>
          <w:sz w:val="20"/>
        </w:rPr>
        <w:t xml:space="preserve"> </w:t>
      </w:r>
    </w:p>
    <w:p w:rsidR="00A46A2E" w:rsidRPr="0079632A" w:rsidRDefault="00F45E06" w:rsidP="00FB1808">
      <w:pPr>
        <w:pStyle w:val="Textoindependiente"/>
        <w:spacing w:line="360" w:lineRule="auto"/>
        <w:jc w:val="both"/>
        <w:rPr>
          <w:rStyle w:val="hps"/>
          <w:rFonts w:asciiTheme="minorHAnsi" w:hAnsiTheme="minorHAnsi" w:cstheme="minorHAnsi"/>
          <w:color w:val="000000" w:themeColor="text1"/>
          <w:sz w:val="20"/>
        </w:rPr>
      </w:pPr>
      <w:r w:rsidRPr="0079632A">
        <w:rPr>
          <w:rStyle w:val="hps"/>
          <w:rFonts w:asciiTheme="minorHAnsi" w:hAnsiTheme="minorHAnsi" w:cstheme="minorHAnsi"/>
          <w:color w:val="000000" w:themeColor="text1"/>
          <w:sz w:val="20"/>
        </w:rPr>
        <w:lastRenderedPageBreak/>
        <w:t xml:space="preserve">No existe en el expediente de requerimiento administrativo ninguna información ni antecedente que </w:t>
      </w:r>
      <w:r w:rsidR="0017767B" w:rsidRPr="0079632A">
        <w:rPr>
          <w:rStyle w:val="hps"/>
          <w:rFonts w:asciiTheme="minorHAnsi" w:hAnsiTheme="minorHAnsi" w:cstheme="minorHAnsi"/>
          <w:color w:val="000000" w:themeColor="text1"/>
          <w:sz w:val="20"/>
        </w:rPr>
        <w:t xml:space="preserve">tenga el carácter de </w:t>
      </w:r>
      <w:r w:rsidRPr="0079632A">
        <w:rPr>
          <w:rStyle w:val="hps"/>
          <w:rFonts w:asciiTheme="minorHAnsi" w:hAnsiTheme="minorHAnsi" w:cstheme="minorHAnsi"/>
          <w:color w:val="000000" w:themeColor="text1"/>
          <w:sz w:val="20"/>
        </w:rPr>
        <w:t>secreto o reservado, ni existe información que pertenezca a la esfera de la privacidad o intimidad de una persona. Las actuaciones que se realizan tampoco son secretas ni reservadas, muy por el contrario, la ley busca su publicidad.</w:t>
      </w:r>
    </w:p>
    <w:p w:rsidR="00DB0A09" w:rsidRDefault="0099410A" w:rsidP="00FB1808">
      <w:pPr>
        <w:tabs>
          <w:tab w:val="left" w:pos="-720"/>
          <w:tab w:val="left" w:pos="567"/>
        </w:tabs>
        <w:spacing w:line="360" w:lineRule="auto"/>
        <w:jc w:val="both"/>
        <w:rPr>
          <w:rFonts w:asciiTheme="minorHAnsi" w:hAnsiTheme="minorHAnsi" w:cstheme="minorHAnsi"/>
          <w:color w:val="000000" w:themeColor="text1"/>
          <w:spacing w:val="-3"/>
          <w:sz w:val="20"/>
        </w:rPr>
      </w:pPr>
      <w:r w:rsidRPr="0079632A">
        <w:rPr>
          <w:rFonts w:asciiTheme="minorHAnsi" w:hAnsiTheme="minorHAnsi" w:cstheme="minorHAnsi"/>
          <w:color w:val="000000" w:themeColor="text1"/>
          <w:spacing w:val="-3"/>
          <w:sz w:val="20"/>
        </w:rPr>
        <w:tab/>
      </w:r>
    </w:p>
    <w:p w:rsidR="0099410A" w:rsidRPr="0079632A" w:rsidRDefault="00DB0A09" w:rsidP="00FB1808">
      <w:pPr>
        <w:tabs>
          <w:tab w:val="left" w:pos="-720"/>
          <w:tab w:val="left" w:pos="567"/>
        </w:tabs>
        <w:spacing w:line="360" w:lineRule="auto"/>
        <w:jc w:val="both"/>
        <w:rPr>
          <w:rFonts w:asciiTheme="minorHAnsi" w:hAnsiTheme="minorHAnsi" w:cstheme="minorHAnsi"/>
          <w:color w:val="000000" w:themeColor="text1"/>
          <w:spacing w:val="-3"/>
          <w:sz w:val="20"/>
        </w:rPr>
      </w:pPr>
      <w:r>
        <w:rPr>
          <w:rFonts w:asciiTheme="minorHAnsi" w:hAnsiTheme="minorHAnsi" w:cstheme="minorHAnsi"/>
          <w:color w:val="000000" w:themeColor="text1"/>
          <w:spacing w:val="-3"/>
          <w:sz w:val="20"/>
        </w:rPr>
        <w:tab/>
      </w:r>
      <w:r w:rsidR="007967B9">
        <w:rPr>
          <w:rFonts w:asciiTheme="minorHAnsi" w:hAnsiTheme="minorHAnsi" w:cstheme="minorHAnsi"/>
          <w:color w:val="000000" w:themeColor="text1"/>
          <w:spacing w:val="-3"/>
          <w:sz w:val="20"/>
        </w:rPr>
        <w:t>Toda vez que el expediente de requerimiento es tramitado ante los tribunales civiles en la segunda etapa, m</w:t>
      </w:r>
      <w:r>
        <w:rPr>
          <w:rFonts w:asciiTheme="minorHAnsi" w:hAnsiTheme="minorHAnsi" w:cstheme="minorHAnsi"/>
          <w:color w:val="000000" w:themeColor="text1"/>
          <w:spacing w:val="-3"/>
          <w:sz w:val="20"/>
        </w:rPr>
        <w:t xml:space="preserve">ediante al simple acceso al sistema del poder judicial se </w:t>
      </w:r>
      <w:r w:rsidR="0099410A" w:rsidRPr="0079632A">
        <w:rPr>
          <w:rFonts w:asciiTheme="minorHAnsi" w:hAnsiTheme="minorHAnsi" w:cstheme="minorHAnsi"/>
          <w:color w:val="000000" w:themeColor="text1"/>
          <w:spacing w:val="-3"/>
          <w:sz w:val="20"/>
        </w:rPr>
        <w:t xml:space="preserve">podrá tener acceso a los expedientes administrativos. Entonces al mismo tiempo que tal información es negada por los abogados provinciales en sede de Tesorería es </w:t>
      </w:r>
      <w:r>
        <w:rPr>
          <w:rFonts w:asciiTheme="minorHAnsi" w:hAnsiTheme="minorHAnsi" w:cstheme="minorHAnsi"/>
          <w:color w:val="000000" w:themeColor="text1"/>
          <w:spacing w:val="-3"/>
          <w:sz w:val="20"/>
        </w:rPr>
        <w:t xml:space="preserve">puesta </w:t>
      </w:r>
      <w:r w:rsidR="0099410A" w:rsidRPr="0079632A">
        <w:rPr>
          <w:rFonts w:asciiTheme="minorHAnsi" w:hAnsiTheme="minorHAnsi" w:cstheme="minorHAnsi"/>
          <w:color w:val="000000" w:themeColor="text1"/>
          <w:spacing w:val="-3"/>
          <w:sz w:val="20"/>
        </w:rPr>
        <w:t xml:space="preserve">disposición </w:t>
      </w:r>
      <w:r>
        <w:rPr>
          <w:rFonts w:asciiTheme="minorHAnsi" w:hAnsiTheme="minorHAnsi" w:cstheme="minorHAnsi"/>
          <w:color w:val="000000" w:themeColor="text1"/>
          <w:spacing w:val="-3"/>
          <w:sz w:val="20"/>
        </w:rPr>
        <w:t xml:space="preserve">por </w:t>
      </w:r>
      <w:r w:rsidR="0099410A" w:rsidRPr="0079632A">
        <w:rPr>
          <w:rFonts w:asciiTheme="minorHAnsi" w:hAnsiTheme="minorHAnsi" w:cstheme="minorHAnsi"/>
          <w:color w:val="000000" w:themeColor="text1"/>
          <w:spacing w:val="-3"/>
          <w:sz w:val="20"/>
        </w:rPr>
        <w:t>mismos abogados</w:t>
      </w:r>
      <w:r>
        <w:rPr>
          <w:rFonts w:asciiTheme="minorHAnsi" w:hAnsiTheme="minorHAnsi" w:cstheme="minorHAnsi"/>
          <w:color w:val="000000" w:themeColor="text1"/>
          <w:spacing w:val="-3"/>
          <w:sz w:val="20"/>
        </w:rPr>
        <w:t xml:space="preserve"> en sede civil</w:t>
      </w:r>
      <w:r w:rsidR="0099410A" w:rsidRPr="0079632A">
        <w:rPr>
          <w:rFonts w:asciiTheme="minorHAnsi" w:hAnsiTheme="minorHAnsi" w:cstheme="minorHAnsi"/>
          <w:color w:val="000000" w:themeColor="text1"/>
          <w:spacing w:val="-3"/>
          <w:sz w:val="20"/>
        </w:rPr>
        <w:t>.</w:t>
      </w:r>
    </w:p>
    <w:p w:rsidR="00925531" w:rsidRPr="0079632A" w:rsidRDefault="00925531" w:rsidP="007967B9">
      <w:pPr>
        <w:pStyle w:val="Textoindependiente"/>
        <w:spacing w:line="360" w:lineRule="auto"/>
        <w:jc w:val="both"/>
        <w:rPr>
          <w:rStyle w:val="hps"/>
          <w:rFonts w:asciiTheme="minorHAnsi" w:hAnsiTheme="minorHAnsi" w:cstheme="minorHAnsi"/>
          <w:color w:val="000000" w:themeColor="text1"/>
          <w:sz w:val="20"/>
        </w:rPr>
      </w:pPr>
      <w:r w:rsidRPr="0079632A">
        <w:rPr>
          <w:rStyle w:val="hps"/>
          <w:rFonts w:asciiTheme="minorHAnsi" w:hAnsiTheme="minorHAnsi" w:cstheme="minorHAnsi"/>
          <w:color w:val="000000" w:themeColor="text1"/>
          <w:sz w:val="20"/>
        </w:rPr>
        <w:t xml:space="preserve"> </w:t>
      </w:r>
    </w:p>
    <w:p w:rsidR="00514962" w:rsidRPr="0079632A" w:rsidRDefault="00514962" w:rsidP="00FB1808">
      <w:pPr>
        <w:pStyle w:val="Textoindependiente"/>
        <w:spacing w:line="360" w:lineRule="auto"/>
        <w:jc w:val="both"/>
        <w:rPr>
          <w:rStyle w:val="hps"/>
          <w:rFonts w:asciiTheme="minorHAnsi" w:hAnsiTheme="minorHAnsi" w:cstheme="minorHAnsi"/>
          <w:b/>
          <w:color w:val="000000" w:themeColor="text1"/>
          <w:sz w:val="20"/>
          <w:u w:val="single"/>
        </w:rPr>
      </w:pPr>
    </w:p>
    <w:p w:rsidR="00AA1BEF" w:rsidRPr="0079632A" w:rsidRDefault="00BF351F" w:rsidP="00FB1808">
      <w:pPr>
        <w:pStyle w:val="Textoindependiente"/>
        <w:spacing w:line="360" w:lineRule="auto"/>
        <w:jc w:val="both"/>
        <w:rPr>
          <w:rStyle w:val="hps"/>
          <w:rFonts w:asciiTheme="minorHAnsi" w:hAnsiTheme="minorHAnsi" w:cstheme="minorHAnsi"/>
          <w:b/>
          <w:color w:val="000000" w:themeColor="text1"/>
          <w:sz w:val="20"/>
          <w:u w:val="single"/>
        </w:rPr>
      </w:pPr>
      <w:r w:rsidRPr="0079632A">
        <w:rPr>
          <w:rStyle w:val="hps"/>
          <w:rFonts w:asciiTheme="minorHAnsi" w:hAnsiTheme="minorHAnsi" w:cstheme="minorHAnsi"/>
          <w:b/>
          <w:color w:val="000000" w:themeColor="text1"/>
          <w:sz w:val="20"/>
          <w:u w:val="single"/>
        </w:rPr>
        <w:t>JURISRPUDENCIA JUDI</w:t>
      </w:r>
      <w:r w:rsidR="00AA1BEF" w:rsidRPr="0079632A">
        <w:rPr>
          <w:rStyle w:val="hps"/>
          <w:rFonts w:asciiTheme="minorHAnsi" w:hAnsiTheme="minorHAnsi" w:cstheme="minorHAnsi"/>
          <w:b/>
          <w:color w:val="000000" w:themeColor="text1"/>
          <w:sz w:val="20"/>
          <w:u w:val="single"/>
        </w:rPr>
        <w:t>CIAL Y</w:t>
      </w:r>
      <w:r w:rsidRPr="0079632A">
        <w:rPr>
          <w:rStyle w:val="hps"/>
          <w:rFonts w:asciiTheme="minorHAnsi" w:hAnsiTheme="minorHAnsi" w:cstheme="minorHAnsi"/>
          <w:b/>
          <w:color w:val="000000" w:themeColor="text1"/>
          <w:sz w:val="20"/>
          <w:u w:val="single"/>
        </w:rPr>
        <w:t xml:space="preserve"> ADMNISTRATIVA.</w:t>
      </w:r>
    </w:p>
    <w:p w:rsidR="00694632" w:rsidRPr="0079632A" w:rsidRDefault="00694632" w:rsidP="00FB1808">
      <w:pPr>
        <w:pStyle w:val="Textoindependiente"/>
        <w:spacing w:line="360" w:lineRule="auto"/>
        <w:jc w:val="both"/>
        <w:rPr>
          <w:rStyle w:val="hps"/>
          <w:rFonts w:asciiTheme="minorHAnsi" w:hAnsiTheme="minorHAnsi" w:cstheme="minorHAnsi"/>
          <w:color w:val="000000" w:themeColor="text1"/>
          <w:sz w:val="20"/>
        </w:rPr>
      </w:pPr>
    </w:p>
    <w:p w:rsidR="00BF351F" w:rsidRPr="0079632A" w:rsidRDefault="00DB0A09" w:rsidP="00FB1808">
      <w:pPr>
        <w:pStyle w:val="Textoindependiente"/>
        <w:spacing w:line="360" w:lineRule="auto"/>
        <w:jc w:val="both"/>
        <w:rPr>
          <w:rStyle w:val="hps"/>
          <w:rFonts w:asciiTheme="minorHAnsi" w:hAnsiTheme="minorHAnsi" w:cstheme="minorHAnsi"/>
          <w:color w:val="000000" w:themeColor="text1"/>
          <w:sz w:val="20"/>
        </w:rPr>
      </w:pPr>
      <w:r>
        <w:rPr>
          <w:rStyle w:val="hps"/>
          <w:rFonts w:asciiTheme="minorHAnsi" w:hAnsiTheme="minorHAnsi" w:cstheme="minorHAnsi"/>
          <w:color w:val="000000" w:themeColor="text1"/>
          <w:sz w:val="20"/>
        </w:rPr>
        <w:t xml:space="preserve">Existe </w:t>
      </w:r>
      <w:r w:rsidR="00BF351F" w:rsidRPr="0079632A">
        <w:rPr>
          <w:rStyle w:val="hps"/>
          <w:rFonts w:asciiTheme="minorHAnsi" w:hAnsiTheme="minorHAnsi" w:cstheme="minorHAnsi"/>
          <w:color w:val="000000" w:themeColor="text1"/>
          <w:sz w:val="20"/>
        </w:rPr>
        <w:t xml:space="preserve">variada jurisprudencia </w:t>
      </w:r>
      <w:r w:rsidR="00FB3E28" w:rsidRPr="0079632A">
        <w:rPr>
          <w:rStyle w:val="hps"/>
          <w:rFonts w:asciiTheme="minorHAnsi" w:hAnsiTheme="minorHAnsi" w:cstheme="minorHAnsi"/>
          <w:color w:val="000000" w:themeColor="text1"/>
          <w:sz w:val="20"/>
        </w:rPr>
        <w:t>relativa</w:t>
      </w:r>
      <w:r w:rsidR="00BF351F" w:rsidRPr="0079632A">
        <w:rPr>
          <w:rStyle w:val="hps"/>
          <w:rFonts w:asciiTheme="minorHAnsi" w:hAnsiTheme="minorHAnsi" w:cstheme="minorHAnsi"/>
          <w:color w:val="000000" w:themeColor="text1"/>
          <w:sz w:val="20"/>
        </w:rPr>
        <w:t xml:space="preserve"> a la publicación de deudas tributarias por parte del Servicio de Tesorerías en Dicom</w:t>
      </w:r>
      <w:r w:rsidR="00C82346" w:rsidRPr="0079632A">
        <w:rPr>
          <w:rStyle w:val="hps"/>
          <w:rFonts w:asciiTheme="minorHAnsi" w:hAnsiTheme="minorHAnsi" w:cstheme="minorHAnsi"/>
          <w:color w:val="000000" w:themeColor="text1"/>
          <w:sz w:val="20"/>
        </w:rPr>
        <w:t xml:space="preserve"> que vale la pena examinar</w:t>
      </w:r>
      <w:r w:rsidR="0017767B" w:rsidRPr="0079632A">
        <w:rPr>
          <w:rStyle w:val="hps"/>
          <w:rFonts w:asciiTheme="minorHAnsi" w:hAnsiTheme="minorHAnsi" w:cstheme="minorHAnsi"/>
          <w:color w:val="000000" w:themeColor="text1"/>
          <w:sz w:val="20"/>
        </w:rPr>
        <w:t>, por cuanto en toda esta jurisprudencia se hace referencia al carácter público de los expedientes administrativos.</w:t>
      </w:r>
    </w:p>
    <w:p w:rsidR="00694632" w:rsidRPr="0079632A" w:rsidRDefault="00694632" w:rsidP="00FB1808">
      <w:pPr>
        <w:pStyle w:val="Textoindependiente"/>
        <w:spacing w:line="360" w:lineRule="auto"/>
        <w:jc w:val="both"/>
        <w:rPr>
          <w:rStyle w:val="hps"/>
          <w:rFonts w:asciiTheme="minorHAnsi" w:hAnsiTheme="minorHAnsi" w:cstheme="minorHAnsi"/>
          <w:color w:val="000000" w:themeColor="text1"/>
          <w:sz w:val="20"/>
        </w:rPr>
      </w:pPr>
    </w:p>
    <w:p w:rsidR="00527D68" w:rsidRPr="0079632A" w:rsidRDefault="00527D68" w:rsidP="00FB1808">
      <w:pPr>
        <w:pStyle w:val="Textoindependiente"/>
        <w:spacing w:line="360" w:lineRule="auto"/>
        <w:jc w:val="both"/>
        <w:rPr>
          <w:rStyle w:val="hps"/>
          <w:rFonts w:asciiTheme="minorHAnsi" w:hAnsiTheme="minorHAnsi" w:cstheme="minorHAnsi"/>
          <w:color w:val="000000" w:themeColor="text1"/>
          <w:sz w:val="20"/>
        </w:rPr>
      </w:pPr>
      <w:r w:rsidRPr="0079632A">
        <w:rPr>
          <w:rStyle w:val="hps"/>
          <w:rFonts w:asciiTheme="minorHAnsi" w:hAnsiTheme="minorHAnsi" w:cstheme="minorHAnsi"/>
          <w:color w:val="000000" w:themeColor="text1"/>
          <w:sz w:val="20"/>
        </w:rPr>
        <w:t xml:space="preserve">Dos líneas claramente diferenciadas fueron establecidas. En sede judicial impero la tesis </w:t>
      </w:r>
      <w:r w:rsidR="00F10376" w:rsidRPr="0079632A">
        <w:rPr>
          <w:rStyle w:val="hps"/>
          <w:rFonts w:asciiTheme="minorHAnsi" w:hAnsiTheme="minorHAnsi" w:cstheme="minorHAnsi"/>
          <w:color w:val="000000" w:themeColor="text1"/>
          <w:sz w:val="20"/>
        </w:rPr>
        <w:t xml:space="preserve">mayoritaria </w:t>
      </w:r>
      <w:r w:rsidRPr="0079632A">
        <w:rPr>
          <w:rStyle w:val="hps"/>
          <w:rFonts w:asciiTheme="minorHAnsi" w:hAnsiTheme="minorHAnsi" w:cstheme="minorHAnsi"/>
          <w:color w:val="000000" w:themeColor="text1"/>
          <w:sz w:val="20"/>
        </w:rPr>
        <w:t>de que la publicación de deudas tributarias en Dicom por el Servicio de Tesorerías resultaba contraria a derecho.</w:t>
      </w:r>
      <w:r w:rsidR="00C82346" w:rsidRPr="0079632A">
        <w:rPr>
          <w:rStyle w:val="hps"/>
          <w:rFonts w:asciiTheme="minorHAnsi" w:hAnsiTheme="minorHAnsi" w:cstheme="minorHAnsi"/>
          <w:color w:val="000000" w:themeColor="text1"/>
          <w:sz w:val="20"/>
        </w:rPr>
        <w:t xml:space="preserve"> </w:t>
      </w:r>
      <w:r w:rsidRPr="0079632A">
        <w:rPr>
          <w:rStyle w:val="hps"/>
          <w:rFonts w:asciiTheme="minorHAnsi" w:hAnsiTheme="minorHAnsi" w:cstheme="minorHAnsi"/>
          <w:color w:val="000000" w:themeColor="text1"/>
          <w:sz w:val="20"/>
        </w:rPr>
        <w:t>La Contraloría General de la Republica</w:t>
      </w:r>
      <w:r w:rsidR="00FB3E28" w:rsidRPr="0079632A">
        <w:rPr>
          <w:rStyle w:val="hps"/>
          <w:rFonts w:asciiTheme="minorHAnsi" w:hAnsiTheme="minorHAnsi" w:cstheme="minorHAnsi"/>
          <w:color w:val="000000" w:themeColor="text1"/>
          <w:sz w:val="20"/>
        </w:rPr>
        <w:t xml:space="preserve"> por su parte </w:t>
      </w:r>
      <w:r w:rsidR="00C82346" w:rsidRPr="0079632A">
        <w:rPr>
          <w:rStyle w:val="hps"/>
          <w:rFonts w:asciiTheme="minorHAnsi" w:hAnsiTheme="minorHAnsi" w:cstheme="minorHAnsi"/>
          <w:color w:val="000000" w:themeColor="text1"/>
          <w:sz w:val="20"/>
        </w:rPr>
        <w:t xml:space="preserve">sostuvo </w:t>
      </w:r>
      <w:r w:rsidR="00FB3E28" w:rsidRPr="0079632A">
        <w:rPr>
          <w:rStyle w:val="hps"/>
          <w:rFonts w:asciiTheme="minorHAnsi" w:hAnsiTheme="minorHAnsi" w:cstheme="minorHAnsi"/>
          <w:color w:val="000000" w:themeColor="text1"/>
          <w:sz w:val="20"/>
        </w:rPr>
        <w:t>que se ajusta de derecho la publicación de deudas tributarias en Dicom por el Servicio de Tesorerías.</w:t>
      </w:r>
      <w:r w:rsidR="00990776" w:rsidRPr="0079632A">
        <w:rPr>
          <w:rStyle w:val="Refdenotaalpie"/>
          <w:rFonts w:asciiTheme="minorHAnsi" w:hAnsiTheme="minorHAnsi" w:cstheme="minorHAnsi"/>
          <w:color w:val="000000" w:themeColor="text1"/>
          <w:sz w:val="20"/>
        </w:rPr>
        <w:footnoteReference w:id="5"/>
      </w:r>
    </w:p>
    <w:p w:rsidR="00694632" w:rsidRPr="0079632A" w:rsidRDefault="00694632" w:rsidP="00FB1808">
      <w:pPr>
        <w:pStyle w:val="Textoindependiente"/>
        <w:spacing w:line="360" w:lineRule="auto"/>
        <w:jc w:val="both"/>
        <w:rPr>
          <w:rStyle w:val="hps"/>
          <w:rFonts w:asciiTheme="minorHAnsi" w:hAnsiTheme="minorHAnsi" w:cstheme="minorHAnsi"/>
          <w:color w:val="000000" w:themeColor="text1"/>
          <w:sz w:val="20"/>
        </w:rPr>
      </w:pPr>
    </w:p>
    <w:p w:rsidR="00000A26" w:rsidRDefault="00CD2734" w:rsidP="00FB1808">
      <w:pPr>
        <w:pStyle w:val="Textoindependiente"/>
        <w:spacing w:line="360" w:lineRule="auto"/>
        <w:jc w:val="both"/>
        <w:rPr>
          <w:rStyle w:val="hps"/>
          <w:rFonts w:asciiTheme="minorHAnsi" w:hAnsiTheme="minorHAnsi" w:cstheme="minorHAnsi"/>
          <w:color w:val="000000" w:themeColor="text1"/>
          <w:sz w:val="20"/>
        </w:rPr>
      </w:pPr>
      <w:r w:rsidRPr="0079632A">
        <w:rPr>
          <w:rStyle w:val="hps"/>
          <w:rFonts w:asciiTheme="minorHAnsi" w:hAnsiTheme="minorHAnsi" w:cstheme="minorHAnsi"/>
          <w:color w:val="000000" w:themeColor="text1"/>
          <w:sz w:val="20"/>
        </w:rPr>
        <w:t xml:space="preserve">La jurisprudencia </w:t>
      </w:r>
      <w:r w:rsidR="00000A26" w:rsidRPr="0079632A">
        <w:rPr>
          <w:rStyle w:val="hps"/>
          <w:rFonts w:asciiTheme="minorHAnsi" w:hAnsiTheme="minorHAnsi" w:cstheme="minorHAnsi"/>
          <w:color w:val="000000" w:themeColor="text1"/>
          <w:sz w:val="20"/>
        </w:rPr>
        <w:t xml:space="preserve">que </w:t>
      </w:r>
      <w:r w:rsidR="00DB0A09">
        <w:rPr>
          <w:rStyle w:val="hps"/>
          <w:rFonts w:asciiTheme="minorHAnsi" w:hAnsiTheme="minorHAnsi" w:cstheme="minorHAnsi"/>
          <w:color w:val="000000" w:themeColor="text1"/>
          <w:sz w:val="20"/>
        </w:rPr>
        <w:t xml:space="preserve">negó la posibilidad de </w:t>
      </w:r>
      <w:r w:rsidR="00000A26" w:rsidRPr="0079632A">
        <w:rPr>
          <w:rStyle w:val="hps"/>
          <w:rFonts w:asciiTheme="minorHAnsi" w:hAnsiTheme="minorHAnsi" w:cstheme="minorHAnsi"/>
          <w:color w:val="000000" w:themeColor="text1"/>
          <w:sz w:val="20"/>
        </w:rPr>
        <w:t xml:space="preserve">publicar las deudas tributarias en Dicom se sostiene en </w:t>
      </w:r>
      <w:r w:rsidR="00DB7899" w:rsidRPr="0079632A">
        <w:rPr>
          <w:rStyle w:val="hps"/>
          <w:rFonts w:asciiTheme="minorHAnsi" w:hAnsiTheme="minorHAnsi" w:cstheme="minorHAnsi"/>
          <w:color w:val="000000" w:themeColor="text1"/>
          <w:sz w:val="20"/>
        </w:rPr>
        <w:t xml:space="preserve">dos </w:t>
      </w:r>
      <w:r w:rsidR="00000A26" w:rsidRPr="0079632A">
        <w:rPr>
          <w:rStyle w:val="hps"/>
          <w:rFonts w:asciiTheme="minorHAnsi" w:hAnsiTheme="minorHAnsi" w:cstheme="minorHAnsi"/>
          <w:color w:val="000000" w:themeColor="text1"/>
          <w:sz w:val="20"/>
        </w:rPr>
        <w:t xml:space="preserve">argumentos: </w:t>
      </w:r>
    </w:p>
    <w:p w:rsidR="00DB0A09" w:rsidRPr="0079632A" w:rsidRDefault="00DB0A09" w:rsidP="00FB1808">
      <w:pPr>
        <w:pStyle w:val="Textoindependiente"/>
        <w:spacing w:line="360" w:lineRule="auto"/>
        <w:jc w:val="both"/>
        <w:rPr>
          <w:rStyle w:val="hps"/>
          <w:rFonts w:asciiTheme="minorHAnsi" w:hAnsiTheme="minorHAnsi" w:cstheme="minorHAnsi"/>
          <w:color w:val="000000" w:themeColor="text1"/>
          <w:sz w:val="20"/>
        </w:rPr>
      </w:pPr>
    </w:p>
    <w:p w:rsidR="00DB0A09" w:rsidRDefault="00000A26" w:rsidP="00C7510C">
      <w:pPr>
        <w:pStyle w:val="Textoindependiente"/>
        <w:numPr>
          <w:ilvl w:val="0"/>
          <w:numId w:val="2"/>
        </w:numPr>
        <w:spacing w:line="360" w:lineRule="auto"/>
        <w:ind w:firstLine="0"/>
        <w:jc w:val="both"/>
        <w:rPr>
          <w:rFonts w:asciiTheme="minorHAnsi" w:hAnsiTheme="minorHAnsi" w:cstheme="minorHAnsi"/>
          <w:color w:val="000000" w:themeColor="text1"/>
          <w:sz w:val="20"/>
        </w:rPr>
      </w:pPr>
      <w:r w:rsidRPr="00DB0A09">
        <w:rPr>
          <w:rStyle w:val="hps"/>
          <w:rFonts w:asciiTheme="minorHAnsi" w:hAnsiTheme="minorHAnsi" w:cstheme="minorHAnsi"/>
          <w:color w:val="000000" w:themeColor="text1"/>
          <w:sz w:val="20"/>
        </w:rPr>
        <w:t xml:space="preserve"> </w:t>
      </w:r>
      <w:r w:rsidR="00DB0A09" w:rsidRPr="00DB0A09">
        <w:rPr>
          <w:rStyle w:val="hps"/>
          <w:rFonts w:asciiTheme="minorHAnsi" w:hAnsiTheme="minorHAnsi" w:cstheme="minorHAnsi"/>
          <w:color w:val="000000" w:themeColor="text1"/>
          <w:sz w:val="20"/>
        </w:rPr>
        <w:t>E</w:t>
      </w:r>
      <w:r w:rsidRPr="00DB0A09">
        <w:rPr>
          <w:rFonts w:asciiTheme="minorHAnsi" w:hAnsiTheme="minorHAnsi" w:cstheme="minorHAnsi"/>
          <w:color w:val="000000" w:themeColor="text1"/>
          <w:sz w:val="20"/>
        </w:rPr>
        <w:t xml:space="preserve">l Servicio de Tesorería “cuenta con facultades especiales y determinadas para efectuar el cobro de los tributos, multas y demás créditos, en conformidad a la ley, pero esta cobranza sólo puede ejercerla en forma administrativa, actuando el Tesorero como juez sustanciador; en vía judicial, ante los tribunales de justicia, incluso ejerciendo coacción sobre los deudores, y extrajudicialmente mediante los procedimientos reglados que establece la ley, careciendo de facultades para emplear otros arbitrios no expresamente autorizados en su Ley Orgánica o en el Código Tributario, como es el caso de enviar la </w:t>
      </w:r>
      <w:r w:rsidR="00C82346" w:rsidRPr="00DB0A09">
        <w:rPr>
          <w:rFonts w:asciiTheme="minorHAnsi" w:hAnsiTheme="minorHAnsi" w:cstheme="minorHAnsi"/>
          <w:color w:val="000000" w:themeColor="text1"/>
          <w:sz w:val="20"/>
        </w:rPr>
        <w:t>nómina</w:t>
      </w:r>
      <w:r w:rsidRPr="00DB0A09">
        <w:rPr>
          <w:rFonts w:asciiTheme="minorHAnsi" w:hAnsiTheme="minorHAnsi" w:cstheme="minorHAnsi"/>
          <w:color w:val="000000" w:themeColor="text1"/>
          <w:sz w:val="20"/>
        </w:rPr>
        <w:t xml:space="preserve"> de sus deudores morosos a una base de datos pública </w:t>
      </w:r>
    </w:p>
    <w:p w:rsidR="00990776" w:rsidRPr="00DB0A09" w:rsidRDefault="00990776" w:rsidP="00C7510C">
      <w:pPr>
        <w:pStyle w:val="Textoindependiente"/>
        <w:numPr>
          <w:ilvl w:val="0"/>
          <w:numId w:val="2"/>
        </w:numPr>
        <w:spacing w:line="360" w:lineRule="auto"/>
        <w:ind w:firstLine="0"/>
        <w:jc w:val="both"/>
        <w:rPr>
          <w:rFonts w:asciiTheme="minorHAnsi" w:hAnsiTheme="minorHAnsi" w:cstheme="minorHAnsi"/>
          <w:color w:val="000000" w:themeColor="text1"/>
          <w:sz w:val="20"/>
        </w:rPr>
      </w:pPr>
      <w:r w:rsidRPr="0079632A">
        <w:rPr>
          <w:rStyle w:val="Refdenotaalpie"/>
          <w:rFonts w:asciiTheme="minorHAnsi" w:hAnsiTheme="minorHAnsi" w:cstheme="minorHAnsi"/>
          <w:color w:val="000000" w:themeColor="text1"/>
          <w:sz w:val="20"/>
        </w:rPr>
        <w:lastRenderedPageBreak/>
        <w:footnoteReference w:id="6"/>
      </w:r>
      <w:r w:rsidR="00000A26" w:rsidRPr="00DB0A09">
        <w:rPr>
          <w:rFonts w:asciiTheme="minorHAnsi" w:hAnsiTheme="minorHAnsi" w:cstheme="minorHAnsi"/>
          <w:color w:val="000000" w:themeColor="text1"/>
          <w:sz w:val="20"/>
        </w:rPr>
        <w:t xml:space="preserve">“Que el artículo 17 de la Ley N° 19.628 dispone que los responsables de los registros o bancos de datos personales, sólo podrán comunicar información que verse sobre obligaciones de carácter económico, financiero, bancario o comercial…” y que “que el Servicio de Tesorería únicamente puede informar datos de carácter personal en la medida que éstos versen sobre algunas de las obligaciones a que se refiere el artículo 17 de la citada ley, por cuanto así lo ordena el artículo 20 del mismo cuerpo legal, y no aquellas que se originan en obligaciones provenientes de impuestos y </w:t>
      </w:r>
      <w:r w:rsidRPr="00DB0A09">
        <w:rPr>
          <w:rFonts w:asciiTheme="minorHAnsi" w:hAnsiTheme="minorHAnsi" w:cstheme="minorHAnsi"/>
          <w:color w:val="000000" w:themeColor="text1"/>
          <w:sz w:val="20"/>
        </w:rPr>
        <w:t xml:space="preserve">multas de carácter tributario” </w:t>
      </w:r>
      <w:r w:rsidRPr="0079632A">
        <w:rPr>
          <w:rStyle w:val="Refdenotaalpie"/>
          <w:rFonts w:asciiTheme="minorHAnsi" w:hAnsiTheme="minorHAnsi" w:cstheme="minorHAnsi"/>
          <w:color w:val="000000" w:themeColor="text1"/>
          <w:sz w:val="20"/>
        </w:rPr>
        <w:footnoteReference w:id="7"/>
      </w:r>
    </w:p>
    <w:p w:rsidR="00990776" w:rsidRPr="0079632A" w:rsidRDefault="00990776" w:rsidP="00FB1808">
      <w:pPr>
        <w:pStyle w:val="Textoindependiente"/>
        <w:spacing w:line="360" w:lineRule="auto"/>
        <w:ind w:left="-142" w:firstLine="0"/>
        <w:jc w:val="both"/>
        <w:rPr>
          <w:rFonts w:asciiTheme="minorHAnsi" w:hAnsiTheme="minorHAnsi" w:cstheme="minorHAnsi"/>
          <w:color w:val="000000" w:themeColor="text1"/>
          <w:sz w:val="20"/>
        </w:rPr>
      </w:pPr>
    </w:p>
    <w:p w:rsidR="00DB0A09" w:rsidRDefault="00DB0A09" w:rsidP="00DB0A09">
      <w:pPr>
        <w:pStyle w:val="Textoindependiente"/>
        <w:spacing w:line="360" w:lineRule="auto"/>
        <w:jc w:val="both"/>
        <w:rPr>
          <w:rStyle w:val="hps"/>
          <w:rFonts w:asciiTheme="minorHAnsi" w:hAnsiTheme="minorHAnsi" w:cstheme="minorHAnsi"/>
          <w:color w:val="000000" w:themeColor="text1"/>
          <w:sz w:val="20"/>
        </w:rPr>
      </w:pPr>
      <w:r w:rsidRPr="0079632A">
        <w:rPr>
          <w:rStyle w:val="hps"/>
          <w:rFonts w:asciiTheme="minorHAnsi" w:hAnsiTheme="minorHAnsi" w:cstheme="minorHAnsi"/>
          <w:color w:val="000000" w:themeColor="text1"/>
          <w:sz w:val="20"/>
        </w:rPr>
        <w:t xml:space="preserve">La jurisprudencia que </w:t>
      </w:r>
      <w:r>
        <w:rPr>
          <w:rStyle w:val="hps"/>
          <w:rFonts w:asciiTheme="minorHAnsi" w:hAnsiTheme="minorHAnsi" w:cstheme="minorHAnsi"/>
          <w:color w:val="000000" w:themeColor="text1"/>
          <w:sz w:val="20"/>
        </w:rPr>
        <w:t xml:space="preserve">aceptó </w:t>
      </w:r>
      <w:r>
        <w:rPr>
          <w:rStyle w:val="hps"/>
          <w:rFonts w:asciiTheme="minorHAnsi" w:hAnsiTheme="minorHAnsi" w:cstheme="minorHAnsi"/>
          <w:color w:val="000000" w:themeColor="text1"/>
          <w:sz w:val="20"/>
        </w:rPr>
        <w:t xml:space="preserve">la posibilidad de </w:t>
      </w:r>
      <w:r w:rsidRPr="0079632A">
        <w:rPr>
          <w:rStyle w:val="hps"/>
          <w:rFonts w:asciiTheme="minorHAnsi" w:hAnsiTheme="minorHAnsi" w:cstheme="minorHAnsi"/>
          <w:color w:val="000000" w:themeColor="text1"/>
          <w:sz w:val="20"/>
        </w:rPr>
        <w:t xml:space="preserve">publicar las deudas tributarias en Dicom se </w:t>
      </w:r>
      <w:r>
        <w:rPr>
          <w:rStyle w:val="hps"/>
          <w:rFonts w:asciiTheme="minorHAnsi" w:hAnsiTheme="minorHAnsi" w:cstheme="minorHAnsi"/>
          <w:color w:val="000000" w:themeColor="text1"/>
          <w:sz w:val="20"/>
        </w:rPr>
        <w:t xml:space="preserve">sostuvo </w:t>
      </w:r>
      <w:r w:rsidRPr="0079632A">
        <w:rPr>
          <w:rStyle w:val="hps"/>
          <w:rFonts w:asciiTheme="minorHAnsi" w:hAnsiTheme="minorHAnsi" w:cstheme="minorHAnsi"/>
          <w:color w:val="000000" w:themeColor="text1"/>
          <w:sz w:val="20"/>
        </w:rPr>
        <w:t xml:space="preserve">en </w:t>
      </w:r>
      <w:r>
        <w:rPr>
          <w:rStyle w:val="hps"/>
          <w:rFonts w:asciiTheme="minorHAnsi" w:hAnsiTheme="minorHAnsi" w:cstheme="minorHAnsi"/>
          <w:color w:val="000000" w:themeColor="text1"/>
          <w:sz w:val="20"/>
        </w:rPr>
        <w:t>el siguiente argumento</w:t>
      </w:r>
      <w:r w:rsidRPr="0079632A">
        <w:rPr>
          <w:rStyle w:val="hps"/>
          <w:rFonts w:asciiTheme="minorHAnsi" w:hAnsiTheme="minorHAnsi" w:cstheme="minorHAnsi"/>
          <w:color w:val="000000" w:themeColor="text1"/>
          <w:sz w:val="20"/>
        </w:rPr>
        <w:t xml:space="preserve">: </w:t>
      </w:r>
    </w:p>
    <w:p w:rsidR="00AD1CFE" w:rsidRDefault="00AD1CFE" w:rsidP="00DB0A09">
      <w:pPr>
        <w:pStyle w:val="Textoindependiente"/>
        <w:spacing w:line="360" w:lineRule="auto"/>
        <w:jc w:val="both"/>
        <w:rPr>
          <w:rStyle w:val="hps"/>
          <w:rFonts w:asciiTheme="minorHAnsi" w:hAnsiTheme="minorHAnsi" w:cstheme="minorHAnsi"/>
          <w:color w:val="000000" w:themeColor="text1"/>
          <w:sz w:val="20"/>
        </w:rPr>
      </w:pPr>
    </w:p>
    <w:p w:rsidR="00000A26" w:rsidRPr="0079632A" w:rsidRDefault="00C21873" w:rsidP="00DB0A09">
      <w:pPr>
        <w:pStyle w:val="Textoindependiente"/>
        <w:spacing w:line="360" w:lineRule="auto"/>
        <w:ind w:left="-142" w:firstLine="682"/>
        <w:jc w:val="both"/>
        <w:rPr>
          <w:rStyle w:val="hps"/>
          <w:rFonts w:asciiTheme="minorHAnsi" w:hAnsiTheme="minorHAnsi" w:cstheme="minorHAnsi"/>
          <w:color w:val="000000" w:themeColor="text1"/>
          <w:sz w:val="20"/>
        </w:rPr>
      </w:pPr>
      <w:r w:rsidRPr="0079632A">
        <w:rPr>
          <w:rFonts w:asciiTheme="minorHAnsi" w:hAnsiTheme="minorHAnsi" w:cstheme="minorHAnsi"/>
          <w:color w:val="000000" w:themeColor="text1"/>
          <w:sz w:val="20"/>
        </w:rPr>
        <w:t xml:space="preserve"> “</w:t>
      </w:r>
      <w:r w:rsidR="00DB0A09">
        <w:rPr>
          <w:rFonts w:asciiTheme="minorHAnsi" w:hAnsiTheme="minorHAnsi" w:cstheme="minorHAnsi"/>
          <w:color w:val="000000" w:themeColor="text1"/>
          <w:sz w:val="20"/>
        </w:rPr>
        <w:t>A</w:t>
      </w:r>
      <w:r w:rsidR="00000A26" w:rsidRPr="0079632A">
        <w:rPr>
          <w:rFonts w:asciiTheme="minorHAnsi" w:hAnsiTheme="minorHAnsi" w:cstheme="minorHAnsi"/>
          <w:color w:val="000000" w:themeColor="text1"/>
          <w:sz w:val="20"/>
        </w:rPr>
        <w:t xml:space="preserve"> fin de determinar si un servicio público se encuentra facultado para ceder a terceros la información que tiene a su cargo, debe atenerse, por una parte, a la naturaleza de los respectivos datos, vale decir, si estos son públicos o secretos, y, por otra, a la competencia que desarrolla el órgano pertinente, esto es, si los actos y acuerdos que convenga con ese objeto, coadyuvan al cumplimiento de sus funciones. En apoyo de esta posición, discurre el ente contralor que corresponde a Tesorería recaudar los tributos y demás ingresos públicos y efectuar la cobranza coactiva, sea judicial, extrajudicial o administrativa de los impuestos, multas y créditos fiscales (arts. 1° y 2° Nos 1 y 2 del DFL. N° 1 (Hac.), de 1994, sobre Estatuto Orgánico del Servicio de Tesorerías y 30 y 35 del DL. 1263, de 1975, Ley Orgánica de Administración Financiera del Estado), sin que la información que pueda entregar aquel servicio, relativa a créditos del sector publico cuya cobranza le compete, tenga el carácter de secreta o reserv</w:t>
      </w:r>
      <w:r w:rsidR="00AD1CFE">
        <w:rPr>
          <w:rFonts w:asciiTheme="minorHAnsi" w:hAnsiTheme="minorHAnsi" w:cstheme="minorHAnsi"/>
          <w:color w:val="000000" w:themeColor="text1"/>
          <w:sz w:val="20"/>
        </w:rPr>
        <w:t xml:space="preserve">ada, sino pública” </w:t>
      </w:r>
      <w:r w:rsidR="00AD1CFE">
        <w:rPr>
          <w:rStyle w:val="hps"/>
          <w:rFonts w:asciiTheme="minorHAnsi" w:hAnsiTheme="minorHAnsi" w:cstheme="minorHAnsi"/>
          <w:color w:val="000000" w:themeColor="text1"/>
          <w:sz w:val="20"/>
        </w:rPr>
        <w:t>(</w:t>
      </w:r>
      <w:r w:rsidR="00AD1CFE" w:rsidRPr="0079632A">
        <w:rPr>
          <w:rStyle w:val="hps"/>
          <w:rFonts w:asciiTheme="minorHAnsi" w:hAnsiTheme="minorHAnsi" w:cstheme="minorHAnsi"/>
          <w:color w:val="000000" w:themeColor="text1"/>
          <w:sz w:val="20"/>
        </w:rPr>
        <w:t xml:space="preserve">Contraloría General de la Republica  en </w:t>
      </w:r>
      <w:r w:rsidR="00AD1CFE" w:rsidRPr="0079632A">
        <w:rPr>
          <w:rFonts w:asciiTheme="minorHAnsi" w:hAnsiTheme="minorHAnsi" w:cstheme="minorHAnsi"/>
          <w:color w:val="000000" w:themeColor="text1"/>
          <w:sz w:val="20"/>
        </w:rPr>
        <w:t>dictamen N° 10.322, de 2001</w:t>
      </w:r>
      <w:r w:rsidR="00AD1CFE">
        <w:rPr>
          <w:rFonts w:asciiTheme="minorHAnsi" w:hAnsiTheme="minorHAnsi" w:cstheme="minorHAnsi"/>
          <w:color w:val="000000" w:themeColor="text1"/>
          <w:sz w:val="20"/>
        </w:rPr>
        <w:t>)</w:t>
      </w:r>
    </w:p>
    <w:p w:rsidR="00694632" w:rsidRPr="0079632A" w:rsidRDefault="00C21873" w:rsidP="00FB1808">
      <w:pPr>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ab/>
      </w:r>
    </w:p>
    <w:p w:rsidR="00F356C7" w:rsidRPr="0079632A" w:rsidRDefault="00694632" w:rsidP="00FB1808">
      <w:pPr>
        <w:pStyle w:val="Textoindependiente"/>
        <w:spacing w:line="360" w:lineRule="auto"/>
        <w:jc w:val="both"/>
        <w:rPr>
          <w:rFonts w:asciiTheme="minorHAnsi" w:hAnsiTheme="minorHAnsi" w:cstheme="minorHAnsi"/>
          <w:sz w:val="20"/>
        </w:rPr>
      </w:pPr>
      <w:r w:rsidRPr="0079632A">
        <w:rPr>
          <w:rFonts w:asciiTheme="minorHAnsi" w:hAnsiTheme="minorHAnsi" w:cstheme="minorHAnsi"/>
          <w:color w:val="000000" w:themeColor="text1"/>
          <w:sz w:val="20"/>
        </w:rPr>
        <w:tab/>
      </w:r>
      <w:r w:rsidR="006404F6" w:rsidRPr="0079632A">
        <w:rPr>
          <w:rFonts w:asciiTheme="minorHAnsi" w:hAnsiTheme="minorHAnsi" w:cstheme="minorHAnsi"/>
          <w:color w:val="000000" w:themeColor="text1"/>
          <w:sz w:val="20"/>
        </w:rPr>
        <w:t xml:space="preserve">Lo interesante </w:t>
      </w:r>
      <w:r w:rsidR="0081600D" w:rsidRPr="0079632A">
        <w:rPr>
          <w:rFonts w:asciiTheme="minorHAnsi" w:hAnsiTheme="minorHAnsi" w:cstheme="minorHAnsi"/>
          <w:color w:val="000000" w:themeColor="text1"/>
          <w:sz w:val="20"/>
        </w:rPr>
        <w:t xml:space="preserve">de estas sentencias y dictámenes, </w:t>
      </w:r>
      <w:r w:rsidR="006404F6" w:rsidRPr="0079632A">
        <w:rPr>
          <w:rFonts w:asciiTheme="minorHAnsi" w:hAnsiTheme="minorHAnsi" w:cstheme="minorHAnsi"/>
          <w:color w:val="000000" w:themeColor="text1"/>
          <w:sz w:val="20"/>
        </w:rPr>
        <w:t xml:space="preserve">es que </w:t>
      </w:r>
      <w:r w:rsidR="00AD1CFE">
        <w:rPr>
          <w:rFonts w:asciiTheme="minorHAnsi" w:hAnsiTheme="minorHAnsi" w:cstheme="minorHAnsi"/>
          <w:color w:val="000000" w:themeColor="text1"/>
          <w:sz w:val="20"/>
        </w:rPr>
        <w:t xml:space="preserve">el debate no pasó respecto a si </w:t>
      </w:r>
      <w:r w:rsidR="00AD1CFE" w:rsidRPr="0079632A">
        <w:rPr>
          <w:rFonts w:asciiTheme="minorHAnsi" w:hAnsiTheme="minorHAnsi" w:cstheme="minorHAnsi"/>
          <w:color w:val="000000" w:themeColor="text1"/>
          <w:sz w:val="20"/>
        </w:rPr>
        <w:t xml:space="preserve">los procedimientos administrativos </w:t>
      </w:r>
      <w:r w:rsidR="006404F6" w:rsidRPr="0079632A">
        <w:rPr>
          <w:rFonts w:asciiTheme="minorHAnsi" w:hAnsiTheme="minorHAnsi" w:cstheme="minorHAnsi"/>
          <w:color w:val="000000" w:themeColor="text1"/>
          <w:sz w:val="20"/>
        </w:rPr>
        <w:t xml:space="preserve">son públicos </w:t>
      </w:r>
      <w:r w:rsidR="00AD1CFE">
        <w:rPr>
          <w:rFonts w:asciiTheme="minorHAnsi" w:hAnsiTheme="minorHAnsi" w:cstheme="minorHAnsi"/>
          <w:color w:val="000000" w:themeColor="text1"/>
          <w:sz w:val="20"/>
        </w:rPr>
        <w:t>o reservados, sino</w:t>
      </w:r>
      <w:r w:rsidR="00CD2734" w:rsidRPr="0079632A">
        <w:rPr>
          <w:rFonts w:asciiTheme="minorHAnsi" w:hAnsiTheme="minorHAnsi" w:cstheme="minorHAnsi"/>
          <w:color w:val="000000" w:themeColor="text1"/>
          <w:sz w:val="20"/>
        </w:rPr>
        <w:t xml:space="preserve"> si la publicación en Dicom de información pública se ajustaba a derecho a no.</w:t>
      </w:r>
      <w:r w:rsidR="002C134D" w:rsidRPr="0079632A">
        <w:rPr>
          <w:rFonts w:asciiTheme="minorHAnsi" w:hAnsiTheme="minorHAnsi" w:cstheme="minorHAnsi"/>
          <w:sz w:val="20"/>
        </w:rPr>
        <w:t xml:space="preserve"> </w:t>
      </w:r>
    </w:p>
    <w:p w:rsidR="004056CF" w:rsidRPr="0079632A" w:rsidRDefault="004056CF" w:rsidP="00FB1808">
      <w:pPr>
        <w:pStyle w:val="Textoindependiente"/>
        <w:spacing w:line="360" w:lineRule="auto"/>
        <w:jc w:val="both"/>
        <w:rPr>
          <w:rFonts w:asciiTheme="minorHAnsi" w:hAnsiTheme="minorHAnsi" w:cstheme="minorHAnsi"/>
          <w:sz w:val="20"/>
        </w:rPr>
      </w:pPr>
    </w:p>
    <w:p w:rsidR="002C134D" w:rsidRPr="0079632A" w:rsidRDefault="00F356C7" w:rsidP="00FB1808">
      <w:pPr>
        <w:pStyle w:val="Textoindependiente"/>
        <w:spacing w:line="360" w:lineRule="auto"/>
        <w:jc w:val="both"/>
        <w:rPr>
          <w:rFonts w:asciiTheme="minorHAnsi" w:hAnsiTheme="minorHAnsi" w:cstheme="minorHAnsi"/>
          <w:color w:val="000000" w:themeColor="text1"/>
          <w:sz w:val="20"/>
        </w:rPr>
      </w:pPr>
      <w:r w:rsidRPr="0079632A">
        <w:rPr>
          <w:rFonts w:asciiTheme="minorHAnsi" w:hAnsiTheme="minorHAnsi" w:cstheme="minorHAnsi"/>
          <w:sz w:val="20"/>
        </w:rPr>
        <w:t xml:space="preserve">En ese sentido </w:t>
      </w:r>
      <w:r w:rsidR="002C134D" w:rsidRPr="0079632A">
        <w:rPr>
          <w:rFonts w:asciiTheme="minorHAnsi" w:hAnsiTheme="minorHAnsi" w:cstheme="minorHAnsi"/>
          <w:sz w:val="20"/>
        </w:rPr>
        <w:t xml:space="preserve">la Tesorería General de la Republica, las Cortes de Apelaciones, la Corte Suprema y la Contraloría General de la Republica estuvieron contestes en que los expedientes administrativos son públicos desde su notificación al deudor, centrándose el debate exclusivamente en </w:t>
      </w:r>
      <w:r w:rsidRPr="0079632A">
        <w:rPr>
          <w:rFonts w:asciiTheme="minorHAnsi" w:hAnsiTheme="minorHAnsi" w:cstheme="minorHAnsi"/>
          <w:sz w:val="20"/>
        </w:rPr>
        <w:t xml:space="preserve">la necesidad de </w:t>
      </w:r>
      <w:r w:rsidR="002C134D" w:rsidRPr="0079632A">
        <w:rPr>
          <w:rFonts w:asciiTheme="minorHAnsi" w:hAnsiTheme="minorHAnsi" w:cstheme="minorHAnsi"/>
          <w:sz w:val="20"/>
        </w:rPr>
        <w:t xml:space="preserve">facultades expresas para publicar en Dicom y en segundo lugar al hecho de que </w:t>
      </w:r>
      <w:r w:rsidR="002C134D" w:rsidRPr="0079632A">
        <w:rPr>
          <w:rFonts w:asciiTheme="minorHAnsi" w:hAnsiTheme="minorHAnsi" w:cstheme="minorHAnsi"/>
          <w:color w:val="000000" w:themeColor="text1"/>
          <w:sz w:val="20"/>
        </w:rPr>
        <w:t xml:space="preserve">sólo pueden comunicarse en Dicom información que verse sobre obligaciones de carácter económico, financiero, bancario o comercial, no estando comprendidas las obligaciones tributarias. </w:t>
      </w:r>
    </w:p>
    <w:p w:rsidR="006404F6" w:rsidRPr="0079632A" w:rsidRDefault="006404F6" w:rsidP="007967B9">
      <w:pPr>
        <w:spacing w:line="360" w:lineRule="auto"/>
        <w:ind w:firstLine="540"/>
        <w:jc w:val="both"/>
        <w:rPr>
          <w:rFonts w:asciiTheme="minorHAnsi" w:hAnsiTheme="minorHAnsi" w:cstheme="minorHAnsi"/>
          <w:color w:val="000000" w:themeColor="text1"/>
          <w:sz w:val="20"/>
        </w:rPr>
      </w:pPr>
      <w:r w:rsidRPr="0079632A">
        <w:rPr>
          <w:rFonts w:asciiTheme="minorHAnsi" w:hAnsiTheme="minorHAnsi" w:cstheme="minorHAnsi"/>
          <w:b/>
          <w:color w:val="000000" w:themeColor="text1"/>
          <w:sz w:val="20"/>
          <w:u w:val="single"/>
        </w:rPr>
        <w:lastRenderedPageBreak/>
        <w:t>RESOLUCIÓN EXENTA 2475 DEL SERVICIO DE TESORERÍA</w:t>
      </w:r>
    </w:p>
    <w:p w:rsidR="00694632" w:rsidRPr="0079632A" w:rsidRDefault="00841819" w:rsidP="00FB1808">
      <w:pPr>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ab/>
      </w:r>
    </w:p>
    <w:p w:rsidR="00CD2734" w:rsidRPr="0079632A" w:rsidRDefault="00F356C7" w:rsidP="00FB1808">
      <w:pPr>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ab/>
      </w:r>
      <w:r w:rsidR="00841819" w:rsidRPr="0079632A">
        <w:rPr>
          <w:rFonts w:asciiTheme="minorHAnsi" w:hAnsiTheme="minorHAnsi" w:cstheme="minorHAnsi"/>
          <w:color w:val="000000" w:themeColor="text1"/>
          <w:sz w:val="20"/>
        </w:rPr>
        <w:t>La resolución exenta 2475 del servicio de Tesorería de 2 de septiembre del año 2002, dictada en cumplimiento de la ley 19653 que mod</w:t>
      </w:r>
      <w:r w:rsidR="00AD1CFE">
        <w:rPr>
          <w:rFonts w:asciiTheme="minorHAnsi" w:hAnsiTheme="minorHAnsi" w:cstheme="minorHAnsi"/>
          <w:color w:val="000000" w:themeColor="text1"/>
          <w:sz w:val="20"/>
        </w:rPr>
        <w:t>ifico a la ley 18675 e incorporó</w:t>
      </w:r>
      <w:r w:rsidR="00841819" w:rsidRPr="0079632A">
        <w:rPr>
          <w:rFonts w:asciiTheme="minorHAnsi" w:hAnsiTheme="minorHAnsi" w:cstheme="minorHAnsi"/>
          <w:color w:val="000000" w:themeColor="text1"/>
          <w:sz w:val="20"/>
        </w:rPr>
        <w:t xml:space="preserve"> la publicidad de los actos administrativos, </w:t>
      </w:r>
      <w:r w:rsidR="00CD2734" w:rsidRPr="0079632A">
        <w:rPr>
          <w:rFonts w:asciiTheme="minorHAnsi" w:hAnsiTheme="minorHAnsi" w:cstheme="minorHAnsi"/>
          <w:color w:val="000000" w:themeColor="text1"/>
          <w:sz w:val="20"/>
        </w:rPr>
        <w:t xml:space="preserve">enumero </w:t>
      </w:r>
      <w:r w:rsidR="00841819" w:rsidRPr="0079632A">
        <w:rPr>
          <w:rFonts w:asciiTheme="minorHAnsi" w:hAnsiTheme="minorHAnsi" w:cstheme="minorHAnsi"/>
          <w:color w:val="000000" w:themeColor="text1"/>
          <w:sz w:val="20"/>
        </w:rPr>
        <w:t xml:space="preserve">todos los documentos que la Tesorería consideraba necesario amparar bajo reserva de acuerdo a la potestad reglamentaria que la ley le otorgaba. </w:t>
      </w:r>
    </w:p>
    <w:p w:rsidR="00AD1CFE" w:rsidRDefault="00AD1CFE" w:rsidP="00FB1808">
      <w:pPr>
        <w:spacing w:line="360" w:lineRule="auto"/>
        <w:jc w:val="both"/>
        <w:rPr>
          <w:rFonts w:asciiTheme="minorHAnsi" w:hAnsiTheme="minorHAnsi" w:cstheme="minorHAnsi"/>
          <w:color w:val="000000" w:themeColor="text1"/>
          <w:sz w:val="20"/>
        </w:rPr>
      </w:pPr>
    </w:p>
    <w:p w:rsidR="00CD2734" w:rsidRPr="0079632A" w:rsidRDefault="00CD2734" w:rsidP="00FB1808">
      <w:pPr>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ab/>
        <w:t xml:space="preserve">En lo relativo </w:t>
      </w:r>
      <w:r w:rsidR="00841819" w:rsidRPr="0079632A">
        <w:rPr>
          <w:rFonts w:asciiTheme="minorHAnsi" w:hAnsiTheme="minorHAnsi" w:cstheme="minorHAnsi"/>
          <w:color w:val="000000" w:themeColor="text1"/>
          <w:sz w:val="20"/>
        </w:rPr>
        <w:t xml:space="preserve">a los expedientes </w:t>
      </w:r>
      <w:r w:rsidRPr="0079632A">
        <w:rPr>
          <w:rFonts w:asciiTheme="minorHAnsi" w:hAnsiTheme="minorHAnsi" w:cstheme="minorHAnsi"/>
          <w:color w:val="000000" w:themeColor="text1"/>
          <w:sz w:val="20"/>
        </w:rPr>
        <w:t xml:space="preserve">de requerimientos </w:t>
      </w:r>
      <w:r w:rsidR="00471EA4" w:rsidRPr="0079632A">
        <w:rPr>
          <w:rFonts w:asciiTheme="minorHAnsi" w:hAnsiTheme="minorHAnsi" w:cstheme="minorHAnsi"/>
          <w:color w:val="000000" w:themeColor="text1"/>
          <w:sz w:val="20"/>
        </w:rPr>
        <w:t>administrativos señaló</w:t>
      </w:r>
      <w:r w:rsidRPr="0079632A">
        <w:rPr>
          <w:rFonts w:asciiTheme="minorHAnsi" w:hAnsiTheme="minorHAnsi" w:cstheme="minorHAnsi"/>
          <w:color w:val="000000" w:themeColor="text1"/>
          <w:sz w:val="20"/>
        </w:rPr>
        <w:t xml:space="preserve"> que </w:t>
      </w:r>
      <w:r w:rsidR="006C31E6" w:rsidRPr="0079632A">
        <w:rPr>
          <w:rFonts w:asciiTheme="minorHAnsi" w:hAnsiTheme="minorHAnsi" w:cstheme="minorHAnsi"/>
          <w:color w:val="000000" w:themeColor="text1"/>
          <w:sz w:val="20"/>
        </w:rPr>
        <w:t xml:space="preserve">son </w:t>
      </w:r>
      <w:r w:rsidRPr="0079632A">
        <w:rPr>
          <w:rFonts w:asciiTheme="minorHAnsi" w:hAnsiTheme="minorHAnsi" w:cstheme="minorHAnsi"/>
          <w:color w:val="000000" w:themeColor="text1"/>
          <w:sz w:val="20"/>
        </w:rPr>
        <w:t>públicos desde el momento de su notificación.</w:t>
      </w:r>
      <w:r w:rsidR="00841819" w:rsidRPr="0079632A">
        <w:rPr>
          <w:rFonts w:asciiTheme="minorHAnsi" w:hAnsiTheme="minorHAnsi" w:cstheme="minorHAnsi"/>
          <w:color w:val="000000" w:themeColor="text1"/>
          <w:sz w:val="20"/>
        </w:rPr>
        <w:t xml:space="preserve"> </w:t>
      </w:r>
    </w:p>
    <w:p w:rsidR="00694632" w:rsidRPr="0079632A" w:rsidRDefault="00CD2734" w:rsidP="00FB1808">
      <w:pPr>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ab/>
      </w:r>
    </w:p>
    <w:p w:rsidR="00CD2734" w:rsidRPr="0079632A" w:rsidRDefault="00694632" w:rsidP="00FB1808">
      <w:pPr>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ab/>
      </w:r>
      <w:r w:rsidR="006C31E6" w:rsidRPr="0079632A">
        <w:rPr>
          <w:rFonts w:asciiTheme="minorHAnsi" w:hAnsiTheme="minorHAnsi" w:cstheme="minorHAnsi"/>
          <w:color w:val="000000" w:themeColor="text1"/>
          <w:sz w:val="20"/>
        </w:rPr>
        <w:t xml:space="preserve">Es así como </w:t>
      </w:r>
      <w:r w:rsidR="00CD2734" w:rsidRPr="0079632A">
        <w:rPr>
          <w:rFonts w:asciiTheme="minorHAnsi" w:hAnsiTheme="minorHAnsi" w:cstheme="minorHAnsi"/>
          <w:color w:val="000000" w:themeColor="text1"/>
          <w:sz w:val="20"/>
        </w:rPr>
        <w:t xml:space="preserve">la resolución exenta 2475 en el punto 1.4 </w:t>
      </w:r>
      <w:r w:rsidR="006C31E6" w:rsidRPr="0079632A">
        <w:rPr>
          <w:rFonts w:asciiTheme="minorHAnsi" w:hAnsiTheme="minorHAnsi" w:cstheme="minorHAnsi"/>
          <w:color w:val="000000" w:themeColor="text1"/>
          <w:sz w:val="20"/>
        </w:rPr>
        <w:t xml:space="preserve">dice </w:t>
      </w:r>
      <w:r w:rsidR="00CD2734" w:rsidRPr="0079632A">
        <w:rPr>
          <w:rFonts w:asciiTheme="minorHAnsi" w:hAnsiTheme="minorHAnsi" w:cstheme="minorHAnsi"/>
          <w:color w:val="000000" w:themeColor="text1"/>
          <w:sz w:val="20"/>
        </w:rPr>
        <w:t>que se encuentra bajo reserva la “información referida a los deudores morosos hasta la notificación de la demanda respectiva”</w:t>
      </w:r>
      <w:r w:rsidR="00990776" w:rsidRPr="0079632A">
        <w:rPr>
          <w:rStyle w:val="Refdenotaalpie"/>
          <w:rFonts w:asciiTheme="minorHAnsi" w:hAnsiTheme="minorHAnsi" w:cstheme="minorHAnsi"/>
          <w:color w:val="000000" w:themeColor="text1"/>
          <w:sz w:val="20"/>
        </w:rPr>
        <w:footnoteReference w:id="8"/>
      </w:r>
    </w:p>
    <w:p w:rsidR="00AD1CFE" w:rsidRDefault="00AD1CFE" w:rsidP="00FB1808">
      <w:pPr>
        <w:spacing w:line="360" w:lineRule="auto"/>
        <w:jc w:val="both"/>
        <w:rPr>
          <w:rFonts w:asciiTheme="minorHAnsi" w:hAnsiTheme="minorHAnsi" w:cstheme="minorHAnsi"/>
          <w:color w:val="000000" w:themeColor="text1"/>
          <w:sz w:val="20"/>
        </w:rPr>
      </w:pPr>
    </w:p>
    <w:p w:rsidR="004056CF" w:rsidRPr="0079632A" w:rsidRDefault="004056CF" w:rsidP="00FB1808">
      <w:pPr>
        <w:spacing w:line="360" w:lineRule="auto"/>
        <w:jc w:val="both"/>
        <w:rPr>
          <w:rFonts w:asciiTheme="minorHAnsi" w:hAnsiTheme="minorHAnsi" w:cstheme="minorHAnsi"/>
          <w:color w:val="000000" w:themeColor="text1"/>
          <w:sz w:val="20"/>
        </w:rPr>
      </w:pPr>
      <w:r w:rsidRPr="0079632A">
        <w:rPr>
          <w:rFonts w:asciiTheme="minorHAnsi" w:hAnsiTheme="minorHAnsi" w:cstheme="minorHAnsi"/>
          <w:color w:val="000000" w:themeColor="text1"/>
          <w:sz w:val="20"/>
        </w:rPr>
        <w:tab/>
        <w:t xml:space="preserve">En sentido contrario, la información referida a deudores morosos </w:t>
      </w:r>
      <w:r w:rsidR="006C31E6" w:rsidRPr="0079632A">
        <w:rPr>
          <w:rFonts w:asciiTheme="minorHAnsi" w:hAnsiTheme="minorHAnsi" w:cstheme="minorHAnsi"/>
          <w:color w:val="000000" w:themeColor="text1"/>
          <w:sz w:val="20"/>
        </w:rPr>
        <w:t xml:space="preserve">debe ser </w:t>
      </w:r>
      <w:r w:rsidRPr="0079632A">
        <w:rPr>
          <w:rFonts w:asciiTheme="minorHAnsi" w:hAnsiTheme="minorHAnsi" w:cstheme="minorHAnsi"/>
          <w:color w:val="000000" w:themeColor="text1"/>
          <w:sz w:val="20"/>
        </w:rPr>
        <w:t xml:space="preserve">pública desde el momento en que es notificada la demanda respectiva. </w:t>
      </w:r>
    </w:p>
    <w:p w:rsidR="00AD1CFE" w:rsidRDefault="00AD1CFE" w:rsidP="00FB1808">
      <w:pPr>
        <w:spacing w:line="360" w:lineRule="auto"/>
        <w:jc w:val="both"/>
        <w:rPr>
          <w:rFonts w:asciiTheme="minorHAnsi" w:hAnsiTheme="minorHAnsi" w:cstheme="minorHAnsi"/>
          <w:color w:val="000000" w:themeColor="text1"/>
          <w:sz w:val="20"/>
        </w:rPr>
      </w:pPr>
    </w:p>
    <w:p w:rsidR="00F356C7" w:rsidRPr="0079632A" w:rsidRDefault="00F356C7" w:rsidP="00FB1808">
      <w:pPr>
        <w:spacing w:line="360" w:lineRule="auto"/>
        <w:jc w:val="both"/>
        <w:rPr>
          <w:rFonts w:asciiTheme="minorHAnsi" w:hAnsiTheme="minorHAnsi" w:cstheme="minorHAnsi"/>
          <w:color w:val="000000" w:themeColor="text1"/>
          <w:sz w:val="20"/>
        </w:rPr>
      </w:pPr>
    </w:p>
    <w:p w:rsidR="006404F6" w:rsidRPr="0079632A" w:rsidRDefault="006404F6" w:rsidP="007967B9">
      <w:pPr>
        <w:spacing w:line="360" w:lineRule="auto"/>
        <w:ind w:firstLine="708"/>
        <w:jc w:val="both"/>
        <w:rPr>
          <w:rFonts w:asciiTheme="minorHAnsi" w:hAnsiTheme="minorHAnsi" w:cstheme="minorHAnsi"/>
          <w:b/>
          <w:color w:val="000000" w:themeColor="text1"/>
          <w:sz w:val="20"/>
          <w:u w:val="single"/>
        </w:rPr>
      </w:pPr>
      <w:r w:rsidRPr="0079632A">
        <w:rPr>
          <w:rFonts w:asciiTheme="minorHAnsi" w:hAnsiTheme="minorHAnsi" w:cstheme="minorHAnsi"/>
          <w:b/>
          <w:color w:val="000000" w:themeColor="text1"/>
          <w:sz w:val="20"/>
          <w:u w:val="single"/>
        </w:rPr>
        <w:t>CONTRALORÍA GENERAL DE LA REPÚBLICA</w:t>
      </w:r>
    </w:p>
    <w:p w:rsidR="00876C68" w:rsidRPr="0079632A" w:rsidRDefault="00876C68" w:rsidP="00FB1808">
      <w:pPr>
        <w:spacing w:line="360" w:lineRule="auto"/>
        <w:jc w:val="both"/>
        <w:rPr>
          <w:rFonts w:asciiTheme="minorHAnsi" w:hAnsiTheme="minorHAnsi" w:cstheme="minorHAnsi"/>
          <w:color w:val="000000" w:themeColor="text1"/>
          <w:sz w:val="20"/>
        </w:rPr>
      </w:pPr>
    </w:p>
    <w:p w:rsidR="00D96C1B" w:rsidRPr="00AD1CFE" w:rsidRDefault="00562404" w:rsidP="00FB1808">
      <w:pPr>
        <w:spacing w:line="360" w:lineRule="auto"/>
        <w:jc w:val="both"/>
        <w:rPr>
          <w:rFonts w:asciiTheme="minorHAnsi" w:hAnsiTheme="minorHAnsi" w:cstheme="minorHAnsi"/>
          <w:color w:val="000000" w:themeColor="text1"/>
          <w:sz w:val="20"/>
          <w:lang w:eastAsia="es-CL"/>
        </w:rPr>
      </w:pPr>
      <w:r w:rsidRPr="00AD1CFE">
        <w:rPr>
          <w:rFonts w:asciiTheme="minorHAnsi" w:hAnsiTheme="minorHAnsi" w:cstheme="minorHAnsi"/>
          <w:color w:val="000000" w:themeColor="text1"/>
          <w:sz w:val="20"/>
        </w:rPr>
        <w:tab/>
      </w:r>
      <w:r w:rsidR="00CD2734" w:rsidRPr="00AD1CFE">
        <w:rPr>
          <w:rFonts w:asciiTheme="minorHAnsi" w:hAnsiTheme="minorHAnsi" w:cstheme="minorHAnsi"/>
          <w:color w:val="000000" w:themeColor="text1"/>
          <w:sz w:val="20"/>
        </w:rPr>
        <w:t xml:space="preserve">La </w:t>
      </w:r>
      <w:r w:rsidR="002621B8" w:rsidRPr="00AD1CFE">
        <w:rPr>
          <w:rFonts w:asciiTheme="minorHAnsi" w:hAnsiTheme="minorHAnsi" w:cstheme="minorHAnsi"/>
          <w:color w:val="000000" w:themeColor="text1"/>
          <w:sz w:val="20"/>
        </w:rPr>
        <w:t>C</w:t>
      </w:r>
      <w:r w:rsidR="00CD2734" w:rsidRPr="00AD1CFE">
        <w:rPr>
          <w:rFonts w:asciiTheme="minorHAnsi" w:hAnsiTheme="minorHAnsi" w:cstheme="minorHAnsi"/>
          <w:color w:val="000000" w:themeColor="text1"/>
          <w:sz w:val="20"/>
        </w:rPr>
        <w:t xml:space="preserve">ontraloría </w:t>
      </w:r>
      <w:r w:rsidR="002621B8" w:rsidRPr="00AD1CFE">
        <w:rPr>
          <w:rFonts w:asciiTheme="minorHAnsi" w:hAnsiTheme="minorHAnsi" w:cstheme="minorHAnsi"/>
          <w:color w:val="000000" w:themeColor="text1"/>
          <w:sz w:val="20"/>
        </w:rPr>
        <w:t>G</w:t>
      </w:r>
      <w:r w:rsidR="00CD2734" w:rsidRPr="00AD1CFE">
        <w:rPr>
          <w:rFonts w:asciiTheme="minorHAnsi" w:hAnsiTheme="minorHAnsi" w:cstheme="minorHAnsi"/>
          <w:color w:val="000000" w:themeColor="text1"/>
          <w:sz w:val="20"/>
        </w:rPr>
        <w:t xml:space="preserve">eneral de la Republica en tres dictámenes se pronunció </w:t>
      </w:r>
      <w:r w:rsidR="00D96C1B" w:rsidRPr="00AD1CFE">
        <w:rPr>
          <w:rFonts w:asciiTheme="minorHAnsi" w:hAnsiTheme="minorHAnsi" w:cstheme="minorHAnsi"/>
          <w:color w:val="000000" w:themeColor="text1"/>
          <w:sz w:val="20"/>
        </w:rPr>
        <w:t xml:space="preserve">sobre el carácter público de la información referida a deudores morosos, señalando que no cabe entender como de carácter reservado o secreto el sistema de recaudación y cobranza </w:t>
      </w:r>
      <w:r w:rsidR="00D96C1B" w:rsidRPr="00AD1CFE">
        <w:rPr>
          <w:rFonts w:asciiTheme="minorHAnsi" w:hAnsiTheme="minorHAnsi" w:cstheme="minorHAnsi"/>
          <w:color w:val="000000" w:themeColor="text1"/>
          <w:sz w:val="20"/>
          <w:lang w:eastAsia="es-CL"/>
        </w:rPr>
        <w:t>en las etapas del procedimiento de cobro ejecutivo a que se refiere el Título V del Libro III del Código Tributario, cuando el deudor ya ha sid</w:t>
      </w:r>
      <w:r w:rsidR="002621B8" w:rsidRPr="00AD1CFE">
        <w:rPr>
          <w:rFonts w:asciiTheme="minorHAnsi" w:hAnsiTheme="minorHAnsi" w:cstheme="minorHAnsi"/>
          <w:color w:val="000000" w:themeColor="text1"/>
          <w:sz w:val="20"/>
          <w:lang w:eastAsia="es-CL"/>
        </w:rPr>
        <w:t>o notificado y requerido de pago</w:t>
      </w:r>
    </w:p>
    <w:p w:rsidR="00876C68" w:rsidRPr="00AD1CFE" w:rsidRDefault="00876C68" w:rsidP="00FB1808">
      <w:pPr>
        <w:spacing w:line="360" w:lineRule="auto"/>
        <w:jc w:val="both"/>
        <w:rPr>
          <w:rFonts w:asciiTheme="minorHAnsi" w:hAnsiTheme="minorHAnsi" w:cstheme="minorHAnsi"/>
          <w:color w:val="000000" w:themeColor="text1"/>
          <w:sz w:val="20"/>
        </w:rPr>
      </w:pPr>
    </w:p>
    <w:p w:rsidR="00D96C1B" w:rsidRPr="00AD1CFE" w:rsidRDefault="000D08FE" w:rsidP="00FB1808">
      <w:pPr>
        <w:spacing w:line="360" w:lineRule="auto"/>
        <w:jc w:val="both"/>
        <w:rPr>
          <w:rFonts w:asciiTheme="minorHAnsi" w:hAnsiTheme="minorHAnsi" w:cstheme="minorHAnsi"/>
          <w:color w:val="000000" w:themeColor="text1"/>
          <w:sz w:val="20"/>
          <w:lang w:eastAsia="es-CL"/>
        </w:rPr>
      </w:pPr>
      <w:r w:rsidRPr="00AD1CFE">
        <w:rPr>
          <w:rFonts w:asciiTheme="minorHAnsi" w:hAnsiTheme="minorHAnsi" w:cstheme="minorHAnsi"/>
          <w:color w:val="000000" w:themeColor="text1"/>
          <w:sz w:val="20"/>
        </w:rPr>
        <w:tab/>
        <w:t xml:space="preserve">En dictamen n° 10322 del año 2001 la contraloría general de la </w:t>
      </w:r>
      <w:r w:rsidR="0094189E" w:rsidRPr="00AD1CFE">
        <w:rPr>
          <w:rFonts w:asciiTheme="minorHAnsi" w:hAnsiTheme="minorHAnsi" w:cstheme="minorHAnsi"/>
          <w:color w:val="000000" w:themeColor="text1"/>
          <w:sz w:val="20"/>
        </w:rPr>
        <w:t>república señaló</w:t>
      </w:r>
      <w:r w:rsidRPr="00AD1CFE">
        <w:rPr>
          <w:rFonts w:asciiTheme="minorHAnsi" w:hAnsiTheme="minorHAnsi" w:cstheme="minorHAnsi"/>
          <w:color w:val="000000" w:themeColor="text1"/>
          <w:sz w:val="20"/>
        </w:rPr>
        <w:t xml:space="preserve"> que </w:t>
      </w:r>
      <w:r w:rsidR="0094189E" w:rsidRPr="00AD1CFE">
        <w:rPr>
          <w:rFonts w:asciiTheme="minorHAnsi" w:hAnsiTheme="minorHAnsi" w:cstheme="minorHAnsi"/>
          <w:color w:val="000000" w:themeColor="text1"/>
          <w:sz w:val="20"/>
        </w:rPr>
        <w:t xml:space="preserve">el </w:t>
      </w:r>
      <w:r w:rsidRPr="00AD1CFE">
        <w:rPr>
          <w:rFonts w:asciiTheme="minorHAnsi" w:hAnsiTheme="minorHAnsi" w:cstheme="minorHAnsi"/>
          <w:color w:val="000000" w:themeColor="text1"/>
          <w:sz w:val="20"/>
        </w:rPr>
        <w:t>“</w:t>
      </w:r>
      <w:r w:rsidRPr="00AD1CFE">
        <w:rPr>
          <w:rFonts w:asciiTheme="minorHAnsi" w:hAnsiTheme="minorHAnsi" w:cstheme="minorHAnsi"/>
          <w:color w:val="000000" w:themeColor="text1"/>
          <w:sz w:val="20"/>
          <w:lang w:eastAsia="es-CL"/>
        </w:rPr>
        <w:t xml:space="preserve">servicio de impuestos internos puede suscribir convenios con empresas de </w:t>
      </w:r>
      <w:r w:rsidR="0094189E" w:rsidRPr="00AD1CFE">
        <w:rPr>
          <w:rFonts w:asciiTheme="minorHAnsi" w:hAnsiTheme="minorHAnsi" w:cstheme="minorHAnsi"/>
          <w:color w:val="000000" w:themeColor="text1"/>
          <w:sz w:val="20"/>
          <w:lang w:eastAsia="es-CL"/>
        </w:rPr>
        <w:t>tecnología</w:t>
      </w:r>
      <w:r w:rsidRPr="00AD1CFE">
        <w:rPr>
          <w:rFonts w:asciiTheme="minorHAnsi" w:hAnsiTheme="minorHAnsi" w:cstheme="minorHAnsi"/>
          <w:color w:val="000000" w:themeColor="text1"/>
          <w:sz w:val="20"/>
          <w:lang w:eastAsia="es-CL"/>
        </w:rPr>
        <w:t xml:space="preserve"> automatizada de </w:t>
      </w:r>
      <w:r w:rsidR="0094189E" w:rsidRPr="00AD1CFE">
        <w:rPr>
          <w:rFonts w:asciiTheme="minorHAnsi" w:hAnsiTheme="minorHAnsi" w:cstheme="minorHAnsi"/>
          <w:color w:val="000000" w:themeColor="text1"/>
          <w:sz w:val="20"/>
          <w:lang w:eastAsia="es-CL"/>
        </w:rPr>
        <w:t>información</w:t>
      </w:r>
      <w:r w:rsidRPr="00AD1CFE">
        <w:rPr>
          <w:rFonts w:asciiTheme="minorHAnsi" w:hAnsiTheme="minorHAnsi" w:cstheme="minorHAnsi"/>
          <w:color w:val="000000" w:themeColor="text1"/>
          <w:sz w:val="20"/>
          <w:lang w:eastAsia="es-CL"/>
        </w:rPr>
        <w:t xml:space="preserve">, en cuya virtud, el servicio acceda a sus bases de datos, y aquellas puedan acceder a ciertos y determinados antecedentes con que cuenta la entidad </w:t>
      </w:r>
      <w:r w:rsidR="0094189E" w:rsidRPr="00AD1CFE">
        <w:rPr>
          <w:rFonts w:asciiTheme="minorHAnsi" w:hAnsiTheme="minorHAnsi" w:cstheme="minorHAnsi"/>
          <w:color w:val="000000" w:themeColor="text1"/>
          <w:sz w:val="20"/>
          <w:lang w:eastAsia="es-CL"/>
        </w:rPr>
        <w:t>pública</w:t>
      </w:r>
      <w:r w:rsidRPr="00AD1CFE">
        <w:rPr>
          <w:rFonts w:asciiTheme="minorHAnsi" w:hAnsiTheme="minorHAnsi" w:cstheme="minorHAnsi"/>
          <w:color w:val="000000" w:themeColor="text1"/>
          <w:sz w:val="20"/>
          <w:lang w:eastAsia="es-CL"/>
        </w:rPr>
        <w:t xml:space="preserve">, relativos al </w:t>
      </w:r>
      <w:r w:rsidR="0094189E" w:rsidRPr="00AD1CFE">
        <w:rPr>
          <w:rFonts w:asciiTheme="minorHAnsi" w:hAnsiTheme="minorHAnsi" w:cstheme="minorHAnsi"/>
          <w:color w:val="000000" w:themeColor="text1"/>
          <w:sz w:val="20"/>
          <w:lang w:eastAsia="es-CL"/>
        </w:rPr>
        <w:t>número</w:t>
      </w:r>
      <w:r w:rsidRPr="00AD1CFE">
        <w:rPr>
          <w:rFonts w:asciiTheme="minorHAnsi" w:hAnsiTheme="minorHAnsi" w:cstheme="minorHAnsi"/>
          <w:color w:val="000000" w:themeColor="text1"/>
          <w:sz w:val="20"/>
          <w:lang w:eastAsia="es-CL"/>
        </w:rPr>
        <w:t xml:space="preserve"> de rol </w:t>
      </w:r>
      <w:r w:rsidR="0094189E" w:rsidRPr="00AD1CFE">
        <w:rPr>
          <w:rFonts w:asciiTheme="minorHAnsi" w:hAnsiTheme="minorHAnsi" w:cstheme="minorHAnsi"/>
          <w:color w:val="000000" w:themeColor="text1"/>
          <w:sz w:val="20"/>
          <w:lang w:eastAsia="es-CL"/>
        </w:rPr>
        <w:t>único</w:t>
      </w:r>
      <w:r w:rsidRPr="00AD1CFE">
        <w:rPr>
          <w:rFonts w:asciiTheme="minorHAnsi" w:hAnsiTheme="minorHAnsi" w:cstheme="minorHAnsi"/>
          <w:color w:val="000000" w:themeColor="text1"/>
          <w:sz w:val="20"/>
          <w:lang w:eastAsia="es-CL"/>
        </w:rPr>
        <w:t xml:space="preserve"> tributario de los contribuyentes, </w:t>
      </w:r>
      <w:r w:rsidR="0094189E" w:rsidRPr="00AD1CFE">
        <w:rPr>
          <w:rFonts w:asciiTheme="minorHAnsi" w:hAnsiTheme="minorHAnsi" w:cstheme="minorHAnsi"/>
          <w:color w:val="000000" w:themeColor="text1"/>
          <w:sz w:val="20"/>
          <w:lang w:eastAsia="es-CL"/>
        </w:rPr>
        <w:t>nómina</w:t>
      </w:r>
      <w:r w:rsidRPr="00AD1CFE">
        <w:rPr>
          <w:rFonts w:asciiTheme="minorHAnsi" w:hAnsiTheme="minorHAnsi" w:cstheme="minorHAnsi"/>
          <w:color w:val="000000" w:themeColor="text1"/>
          <w:sz w:val="20"/>
          <w:lang w:eastAsia="es-CL"/>
        </w:rPr>
        <w:t xml:space="preserve"> de los mismos con incumplimiento tributario, </w:t>
      </w:r>
      <w:r w:rsidR="0094189E" w:rsidRPr="00AD1CFE">
        <w:rPr>
          <w:rFonts w:asciiTheme="minorHAnsi" w:hAnsiTheme="minorHAnsi" w:cstheme="minorHAnsi"/>
          <w:color w:val="000000" w:themeColor="text1"/>
          <w:sz w:val="20"/>
          <w:lang w:eastAsia="es-CL"/>
        </w:rPr>
        <w:t>avalúos</w:t>
      </w:r>
      <w:r w:rsidRPr="00AD1CFE">
        <w:rPr>
          <w:rFonts w:asciiTheme="minorHAnsi" w:hAnsiTheme="minorHAnsi" w:cstheme="minorHAnsi"/>
          <w:color w:val="000000" w:themeColor="text1"/>
          <w:sz w:val="20"/>
          <w:lang w:eastAsia="es-CL"/>
        </w:rPr>
        <w:t xml:space="preserve"> de bienes </w:t>
      </w:r>
      <w:r w:rsidR="0094189E" w:rsidRPr="00AD1CFE">
        <w:rPr>
          <w:rFonts w:asciiTheme="minorHAnsi" w:hAnsiTheme="minorHAnsi" w:cstheme="minorHAnsi"/>
          <w:color w:val="000000" w:themeColor="text1"/>
          <w:sz w:val="20"/>
          <w:lang w:eastAsia="es-CL"/>
        </w:rPr>
        <w:t>raíces</w:t>
      </w:r>
      <w:r w:rsidRPr="00AD1CFE">
        <w:rPr>
          <w:rFonts w:asciiTheme="minorHAnsi" w:hAnsiTheme="minorHAnsi" w:cstheme="minorHAnsi"/>
          <w:color w:val="000000" w:themeColor="text1"/>
          <w:sz w:val="20"/>
          <w:lang w:eastAsia="es-CL"/>
        </w:rPr>
        <w:t xml:space="preserve">, </w:t>
      </w:r>
      <w:r w:rsidR="0094189E" w:rsidRPr="00AD1CFE">
        <w:rPr>
          <w:rFonts w:asciiTheme="minorHAnsi" w:hAnsiTheme="minorHAnsi" w:cstheme="minorHAnsi"/>
          <w:color w:val="000000" w:themeColor="text1"/>
          <w:sz w:val="20"/>
          <w:lang w:eastAsia="es-CL"/>
        </w:rPr>
        <w:t>tasación</w:t>
      </w:r>
      <w:r w:rsidRPr="00AD1CFE">
        <w:rPr>
          <w:rFonts w:asciiTheme="minorHAnsi" w:hAnsiTheme="minorHAnsi" w:cstheme="minorHAnsi"/>
          <w:color w:val="000000" w:themeColor="text1"/>
          <w:sz w:val="20"/>
          <w:lang w:eastAsia="es-CL"/>
        </w:rPr>
        <w:t xml:space="preserve"> de </w:t>
      </w:r>
      <w:r w:rsidR="0094189E" w:rsidRPr="00AD1CFE">
        <w:rPr>
          <w:rFonts w:asciiTheme="minorHAnsi" w:hAnsiTheme="minorHAnsi" w:cstheme="minorHAnsi"/>
          <w:color w:val="000000" w:themeColor="text1"/>
          <w:sz w:val="20"/>
          <w:lang w:eastAsia="es-CL"/>
        </w:rPr>
        <w:t>vehículos</w:t>
      </w:r>
      <w:r w:rsidRPr="00AD1CFE">
        <w:rPr>
          <w:rFonts w:asciiTheme="minorHAnsi" w:hAnsiTheme="minorHAnsi" w:cstheme="minorHAnsi"/>
          <w:color w:val="000000" w:themeColor="text1"/>
          <w:sz w:val="20"/>
          <w:lang w:eastAsia="es-CL"/>
        </w:rPr>
        <w:t xml:space="preserve"> y timbraje de documentos</w:t>
      </w:r>
      <w:r w:rsidR="00D96C1B" w:rsidRPr="00AD1CFE">
        <w:rPr>
          <w:rFonts w:asciiTheme="minorHAnsi" w:hAnsiTheme="minorHAnsi" w:cstheme="minorHAnsi"/>
          <w:color w:val="000000" w:themeColor="text1"/>
          <w:sz w:val="20"/>
          <w:lang w:eastAsia="es-CL"/>
        </w:rPr>
        <w:t>”</w:t>
      </w:r>
      <w:r w:rsidR="00990776" w:rsidRPr="00AD1CFE">
        <w:rPr>
          <w:rStyle w:val="Refdenotaalpie"/>
          <w:rFonts w:asciiTheme="minorHAnsi" w:hAnsiTheme="minorHAnsi" w:cstheme="minorHAnsi"/>
          <w:color w:val="000000" w:themeColor="text1"/>
          <w:sz w:val="20"/>
          <w:lang w:eastAsia="es-CL"/>
        </w:rPr>
        <w:footnoteReference w:id="9"/>
      </w:r>
    </w:p>
    <w:p w:rsidR="00AD1CFE" w:rsidRPr="00AD1CFE" w:rsidRDefault="00AD1CFE" w:rsidP="00FB1808">
      <w:pPr>
        <w:spacing w:line="360" w:lineRule="auto"/>
        <w:jc w:val="both"/>
        <w:rPr>
          <w:rFonts w:asciiTheme="minorHAnsi" w:hAnsiTheme="minorHAnsi" w:cstheme="minorHAnsi"/>
          <w:color w:val="000000" w:themeColor="text1"/>
          <w:sz w:val="20"/>
          <w:lang w:eastAsia="es-CL"/>
        </w:rPr>
      </w:pPr>
    </w:p>
    <w:p w:rsidR="0094189E" w:rsidRPr="00AD1CFE" w:rsidRDefault="0094189E" w:rsidP="00FB1808">
      <w:pPr>
        <w:spacing w:line="360" w:lineRule="auto"/>
        <w:jc w:val="both"/>
        <w:rPr>
          <w:rFonts w:asciiTheme="minorHAnsi" w:hAnsiTheme="minorHAnsi" w:cstheme="minorHAnsi"/>
          <w:color w:val="000000" w:themeColor="text1"/>
          <w:sz w:val="20"/>
          <w:lang w:eastAsia="es-CL"/>
        </w:rPr>
      </w:pPr>
      <w:r w:rsidRPr="00AD1CFE">
        <w:rPr>
          <w:rFonts w:asciiTheme="minorHAnsi" w:hAnsiTheme="minorHAnsi" w:cstheme="minorHAnsi"/>
          <w:color w:val="000000" w:themeColor="text1"/>
          <w:sz w:val="20"/>
          <w:lang w:eastAsia="es-CL"/>
        </w:rPr>
        <w:tab/>
      </w:r>
      <w:r w:rsidR="000D08FE" w:rsidRPr="00AD1CFE">
        <w:rPr>
          <w:rFonts w:asciiTheme="minorHAnsi" w:hAnsiTheme="minorHAnsi" w:cstheme="minorHAnsi"/>
          <w:color w:val="000000" w:themeColor="text1"/>
          <w:sz w:val="20"/>
          <w:lang w:eastAsia="es-CL"/>
        </w:rPr>
        <w:t xml:space="preserve">Al respecto, </w:t>
      </w:r>
      <w:r w:rsidRPr="00AD1CFE">
        <w:rPr>
          <w:rFonts w:asciiTheme="minorHAnsi" w:hAnsiTheme="minorHAnsi" w:cstheme="minorHAnsi"/>
          <w:color w:val="000000" w:themeColor="text1"/>
          <w:sz w:val="20"/>
          <w:lang w:eastAsia="es-CL"/>
        </w:rPr>
        <w:t xml:space="preserve">la </w:t>
      </w:r>
      <w:r w:rsidR="000D08FE" w:rsidRPr="00AD1CFE">
        <w:rPr>
          <w:rFonts w:asciiTheme="minorHAnsi" w:hAnsiTheme="minorHAnsi" w:cstheme="minorHAnsi"/>
          <w:color w:val="000000" w:themeColor="text1"/>
          <w:sz w:val="20"/>
          <w:lang w:eastAsia="es-CL"/>
        </w:rPr>
        <w:t xml:space="preserve">Contraloría General </w:t>
      </w:r>
      <w:r w:rsidRPr="00AD1CFE">
        <w:rPr>
          <w:rFonts w:asciiTheme="minorHAnsi" w:hAnsiTheme="minorHAnsi" w:cstheme="minorHAnsi"/>
          <w:color w:val="000000" w:themeColor="text1"/>
          <w:sz w:val="20"/>
          <w:lang w:eastAsia="es-CL"/>
        </w:rPr>
        <w:t>señala que “</w:t>
      </w:r>
      <w:r w:rsidR="000D08FE" w:rsidRPr="00AD1CFE">
        <w:rPr>
          <w:rFonts w:asciiTheme="minorHAnsi" w:hAnsiTheme="minorHAnsi" w:cstheme="minorHAnsi"/>
          <w:color w:val="000000" w:themeColor="text1"/>
          <w:sz w:val="20"/>
          <w:lang w:eastAsia="es-CL"/>
        </w:rPr>
        <w:t>no advierte disposiciones legales o de inferior jerarquía que atribuyan a esos datos el carácter de secretos o reservados, por lo que se hace necesario determinar si ese carácter deriva de la naturaleza de la información de que se trata</w:t>
      </w:r>
      <w:r w:rsidRPr="00AD1CFE">
        <w:rPr>
          <w:rFonts w:asciiTheme="minorHAnsi" w:hAnsiTheme="minorHAnsi" w:cstheme="minorHAnsi"/>
          <w:color w:val="000000" w:themeColor="text1"/>
          <w:sz w:val="20"/>
          <w:lang w:eastAsia="es-CL"/>
        </w:rPr>
        <w:t xml:space="preserve">”  </w:t>
      </w:r>
      <w:r w:rsidR="00D96C1B" w:rsidRPr="00AD1CFE">
        <w:rPr>
          <w:rFonts w:asciiTheme="minorHAnsi" w:hAnsiTheme="minorHAnsi" w:cstheme="minorHAnsi"/>
          <w:color w:val="000000" w:themeColor="text1"/>
          <w:sz w:val="20"/>
          <w:lang w:eastAsia="es-CL"/>
        </w:rPr>
        <w:t>Concluyendo que “</w:t>
      </w:r>
      <w:r w:rsidR="000D08FE" w:rsidRPr="00AD1CFE">
        <w:rPr>
          <w:rFonts w:asciiTheme="minorHAnsi" w:hAnsiTheme="minorHAnsi" w:cstheme="minorHAnsi"/>
          <w:color w:val="000000" w:themeColor="text1"/>
          <w:sz w:val="20"/>
          <w:lang w:eastAsia="es-CL"/>
        </w:rPr>
        <w:t xml:space="preserve">no </w:t>
      </w:r>
      <w:r w:rsidR="000D08FE" w:rsidRPr="00AD1CFE">
        <w:rPr>
          <w:rFonts w:asciiTheme="minorHAnsi" w:hAnsiTheme="minorHAnsi" w:cstheme="minorHAnsi"/>
          <w:color w:val="000000" w:themeColor="text1"/>
          <w:sz w:val="20"/>
          <w:lang w:eastAsia="es-CL"/>
        </w:rPr>
        <w:lastRenderedPageBreak/>
        <w:t>resulta admisible entender como secreto un sistema creado por la ley consistente en que un servicio público identifica con un número de rol a los contribuyentes para una mejor fiscalización, y a los cuales les proporciona una cédula en que consta el nombre, razón social, y el número correspondiente, la que debe exhibirse en todas las gestiones y trámites que efectúan ante las personas naturales y jurídicas, públicas y privadas, que señala la ley, y que, en caso de fallecimiento o disolución, según el caso, debe ser devuelta al Servicio</w:t>
      </w:r>
      <w:r w:rsidR="00D96C1B" w:rsidRPr="00AD1CFE">
        <w:rPr>
          <w:rFonts w:asciiTheme="minorHAnsi" w:hAnsiTheme="minorHAnsi" w:cstheme="minorHAnsi"/>
          <w:color w:val="000000" w:themeColor="text1"/>
          <w:sz w:val="20"/>
          <w:lang w:eastAsia="es-CL"/>
        </w:rPr>
        <w:t>”</w:t>
      </w:r>
      <w:r w:rsidR="000D08FE" w:rsidRPr="00AD1CFE">
        <w:rPr>
          <w:rFonts w:asciiTheme="minorHAnsi" w:hAnsiTheme="minorHAnsi" w:cstheme="minorHAnsi"/>
          <w:color w:val="000000" w:themeColor="text1"/>
          <w:sz w:val="20"/>
          <w:lang w:eastAsia="es-CL"/>
        </w:rPr>
        <w:t>.</w:t>
      </w:r>
      <w:r w:rsidR="00990776" w:rsidRPr="00AD1CFE">
        <w:rPr>
          <w:rStyle w:val="Refdenotaalpie"/>
          <w:rFonts w:asciiTheme="minorHAnsi" w:hAnsiTheme="minorHAnsi" w:cstheme="minorHAnsi"/>
          <w:color w:val="000000" w:themeColor="text1"/>
          <w:sz w:val="20"/>
          <w:lang w:eastAsia="es-CL"/>
        </w:rPr>
        <w:footnoteReference w:id="10"/>
      </w:r>
    </w:p>
    <w:p w:rsidR="00D96C1B" w:rsidRPr="00AD1CFE" w:rsidRDefault="0094189E" w:rsidP="00FB1808">
      <w:pPr>
        <w:spacing w:before="100" w:beforeAutospacing="1" w:after="100" w:afterAutospacing="1" w:line="360" w:lineRule="auto"/>
        <w:jc w:val="both"/>
        <w:rPr>
          <w:rFonts w:asciiTheme="minorHAnsi" w:hAnsiTheme="minorHAnsi" w:cstheme="minorHAnsi"/>
          <w:color w:val="000000" w:themeColor="text1"/>
          <w:sz w:val="20"/>
        </w:rPr>
      </w:pPr>
      <w:r w:rsidRPr="00AD1CFE">
        <w:rPr>
          <w:rFonts w:asciiTheme="minorHAnsi" w:hAnsiTheme="minorHAnsi" w:cstheme="minorHAnsi"/>
          <w:color w:val="000000" w:themeColor="text1"/>
          <w:sz w:val="20"/>
        </w:rPr>
        <w:tab/>
      </w:r>
      <w:r w:rsidR="000D08FE" w:rsidRPr="00AD1CFE">
        <w:rPr>
          <w:rFonts w:asciiTheme="minorHAnsi" w:hAnsiTheme="minorHAnsi" w:cstheme="minorHAnsi"/>
          <w:color w:val="000000" w:themeColor="text1"/>
          <w:sz w:val="20"/>
        </w:rPr>
        <w:t xml:space="preserve">Posteriormente </w:t>
      </w:r>
      <w:r w:rsidR="00062468">
        <w:rPr>
          <w:rFonts w:asciiTheme="minorHAnsi" w:hAnsiTheme="minorHAnsi" w:cstheme="minorHAnsi"/>
          <w:color w:val="000000" w:themeColor="text1"/>
          <w:sz w:val="20"/>
        </w:rPr>
        <w:t xml:space="preserve">la Tesorería General de la República </w:t>
      </w:r>
      <w:r w:rsidRPr="00AD1CFE">
        <w:rPr>
          <w:rFonts w:asciiTheme="minorHAnsi" w:hAnsiTheme="minorHAnsi" w:cstheme="minorHAnsi"/>
          <w:color w:val="000000" w:themeColor="text1"/>
          <w:sz w:val="20"/>
        </w:rPr>
        <w:t>le solicitó</w:t>
      </w:r>
      <w:r w:rsidR="000D08FE" w:rsidRPr="00AD1CFE">
        <w:rPr>
          <w:rFonts w:asciiTheme="minorHAnsi" w:hAnsiTheme="minorHAnsi" w:cstheme="minorHAnsi"/>
          <w:color w:val="000000" w:themeColor="text1"/>
          <w:sz w:val="20"/>
        </w:rPr>
        <w:t xml:space="preserve"> a l</w:t>
      </w:r>
      <w:r w:rsidR="00841819" w:rsidRPr="00AD1CFE">
        <w:rPr>
          <w:rFonts w:asciiTheme="minorHAnsi" w:hAnsiTheme="minorHAnsi" w:cstheme="minorHAnsi"/>
          <w:color w:val="000000" w:themeColor="text1"/>
          <w:sz w:val="20"/>
        </w:rPr>
        <w:t xml:space="preserve">a Contraloría General de la República, </w:t>
      </w:r>
      <w:r w:rsidR="00596234" w:rsidRPr="00AD1CFE">
        <w:rPr>
          <w:rFonts w:asciiTheme="minorHAnsi" w:hAnsiTheme="minorHAnsi" w:cstheme="minorHAnsi"/>
          <w:color w:val="000000" w:themeColor="text1"/>
          <w:sz w:val="20"/>
        </w:rPr>
        <w:t xml:space="preserve">emitir un </w:t>
      </w:r>
      <w:r w:rsidR="007052EB" w:rsidRPr="00AD1CFE">
        <w:rPr>
          <w:rFonts w:asciiTheme="minorHAnsi" w:hAnsiTheme="minorHAnsi" w:cstheme="minorHAnsi"/>
          <w:color w:val="000000" w:themeColor="text1"/>
          <w:sz w:val="20"/>
        </w:rPr>
        <w:t>pronunciamiento</w:t>
      </w:r>
      <w:r w:rsidR="00596234" w:rsidRPr="00AD1CFE">
        <w:rPr>
          <w:rFonts w:asciiTheme="minorHAnsi" w:hAnsiTheme="minorHAnsi" w:cstheme="minorHAnsi"/>
          <w:color w:val="000000" w:themeColor="text1"/>
          <w:sz w:val="20"/>
        </w:rPr>
        <w:t xml:space="preserve"> </w:t>
      </w:r>
      <w:r w:rsidR="000D08FE" w:rsidRPr="00AD1CFE">
        <w:rPr>
          <w:rFonts w:asciiTheme="minorHAnsi" w:hAnsiTheme="minorHAnsi" w:cstheme="minorHAnsi"/>
          <w:color w:val="000000" w:themeColor="text1"/>
          <w:sz w:val="20"/>
        </w:rPr>
        <w:t>acerca de la procedencia de que el Servicio de Tesorería suscriba convenios con empresas especializadas que existan en el país, que mantienen bases de datos</w:t>
      </w:r>
      <w:r w:rsidR="00D96C1B" w:rsidRPr="00AD1CFE">
        <w:rPr>
          <w:rFonts w:asciiTheme="minorHAnsi" w:hAnsiTheme="minorHAnsi" w:cstheme="minorHAnsi"/>
          <w:color w:val="000000" w:themeColor="text1"/>
          <w:sz w:val="20"/>
        </w:rPr>
        <w:t xml:space="preserve">. </w:t>
      </w:r>
    </w:p>
    <w:p w:rsidR="00C21873" w:rsidRPr="00AD1CFE" w:rsidRDefault="00D96C1B" w:rsidP="00FB1808">
      <w:pPr>
        <w:spacing w:before="100" w:beforeAutospacing="1" w:after="100" w:afterAutospacing="1" w:line="360" w:lineRule="auto"/>
        <w:jc w:val="both"/>
        <w:rPr>
          <w:rFonts w:asciiTheme="minorHAnsi" w:hAnsiTheme="minorHAnsi" w:cstheme="minorHAnsi"/>
          <w:color w:val="000000" w:themeColor="text1"/>
          <w:sz w:val="20"/>
        </w:rPr>
      </w:pPr>
      <w:r w:rsidRPr="00AD1CFE">
        <w:rPr>
          <w:rFonts w:asciiTheme="minorHAnsi" w:hAnsiTheme="minorHAnsi" w:cstheme="minorHAnsi"/>
          <w:color w:val="000000" w:themeColor="text1"/>
          <w:sz w:val="20"/>
        </w:rPr>
        <w:tab/>
      </w:r>
      <w:r w:rsidR="0094189E" w:rsidRPr="00AD1CFE">
        <w:rPr>
          <w:rFonts w:asciiTheme="minorHAnsi" w:hAnsiTheme="minorHAnsi" w:cstheme="minorHAnsi"/>
          <w:color w:val="000000" w:themeColor="text1"/>
          <w:sz w:val="20"/>
        </w:rPr>
        <w:t xml:space="preserve">La Contraloría </w:t>
      </w:r>
      <w:r w:rsidR="002621B8" w:rsidRPr="00AD1CFE">
        <w:rPr>
          <w:rFonts w:asciiTheme="minorHAnsi" w:hAnsiTheme="minorHAnsi" w:cstheme="minorHAnsi"/>
          <w:color w:val="000000" w:themeColor="text1"/>
          <w:sz w:val="20"/>
        </w:rPr>
        <w:t xml:space="preserve">en dictamen 25336 del año 2002, </w:t>
      </w:r>
      <w:r w:rsidR="0094189E" w:rsidRPr="00AD1CFE">
        <w:rPr>
          <w:rFonts w:asciiTheme="minorHAnsi" w:hAnsiTheme="minorHAnsi" w:cstheme="minorHAnsi"/>
          <w:color w:val="000000" w:themeColor="text1"/>
          <w:sz w:val="20"/>
        </w:rPr>
        <w:t>estimó que “</w:t>
      </w:r>
      <w:r w:rsidR="00C21873" w:rsidRPr="00AD1CFE">
        <w:rPr>
          <w:rFonts w:asciiTheme="minorHAnsi" w:hAnsiTheme="minorHAnsi" w:cstheme="minorHAnsi"/>
          <w:color w:val="000000" w:themeColor="text1"/>
          <w:sz w:val="20"/>
        </w:rPr>
        <w:t>del examen de la preceptiva reseñada no se advierte que la información que entregaría el Servicio de Tesorería a las empresas en comento, relativa a las deudas tributarias o de créditos del sector público cuya cobranza le compete, tenga el carácter de secreta o reservada, sino que, antes bien, constituye una información que genera el propio Estado con motivo</w:t>
      </w:r>
      <w:r w:rsidR="0094189E" w:rsidRPr="00AD1CFE">
        <w:rPr>
          <w:rFonts w:asciiTheme="minorHAnsi" w:hAnsiTheme="minorHAnsi" w:cstheme="minorHAnsi"/>
          <w:color w:val="000000" w:themeColor="text1"/>
          <w:sz w:val="20"/>
        </w:rPr>
        <w:t xml:space="preserve"> de su actividad que es pública”</w:t>
      </w:r>
      <w:r w:rsidR="00D031AA" w:rsidRPr="00AD1CFE">
        <w:rPr>
          <w:rFonts w:asciiTheme="minorHAnsi" w:hAnsiTheme="minorHAnsi" w:cstheme="minorHAnsi"/>
          <w:color w:val="000000" w:themeColor="text1"/>
          <w:sz w:val="20"/>
        </w:rPr>
        <w:t xml:space="preserve"> Agregando que la excepción a esta publicidad es la “</w:t>
      </w:r>
      <w:r w:rsidR="00C21873" w:rsidRPr="00AD1CFE">
        <w:rPr>
          <w:rFonts w:asciiTheme="minorHAnsi" w:hAnsiTheme="minorHAnsi" w:cstheme="minorHAnsi"/>
          <w:color w:val="000000" w:themeColor="text1"/>
          <w:sz w:val="20"/>
        </w:rPr>
        <w:t xml:space="preserve">prohibición que establece para sus funcionarios el artículo 168 de dicho Código, en relación con el artículo 35 del mismo cuerpo de normas, en orden a que deben observar el secreto que ampara a las declaraciones de </w:t>
      </w:r>
      <w:r w:rsidR="00D031AA" w:rsidRPr="00AD1CFE">
        <w:rPr>
          <w:rFonts w:asciiTheme="minorHAnsi" w:hAnsiTheme="minorHAnsi" w:cstheme="minorHAnsi"/>
          <w:color w:val="000000" w:themeColor="text1"/>
          <w:sz w:val="20"/>
        </w:rPr>
        <w:t>impuestos de los contribuyentes”</w:t>
      </w:r>
      <w:r w:rsidRPr="00AD1CFE">
        <w:rPr>
          <w:rFonts w:asciiTheme="minorHAnsi" w:hAnsiTheme="minorHAnsi" w:cstheme="minorHAnsi"/>
          <w:color w:val="000000" w:themeColor="text1"/>
          <w:sz w:val="20"/>
        </w:rPr>
        <w:t xml:space="preserve">. </w:t>
      </w:r>
      <w:r w:rsidR="00C21873" w:rsidRPr="00AD1CFE">
        <w:rPr>
          <w:rFonts w:asciiTheme="minorHAnsi" w:hAnsiTheme="minorHAnsi" w:cstheme="minorHAnsi"/>
          <w:color w:val="000000" w:themeColor="text1"/>
          <w:sz w:val="20"/>
        </w:rPr>
        <w:t xml:space="preserve">De este modo, </w:t>
      </w:r>
      <w:r w:rsidR="00D031AA" w:rsidRPr="00AD1CFE">
        <w:rPr>
          <w:rFonts w:asciiTheme="minorHAnsi" w:hAnsiTheme="minorHAnsi" w:cstheme="minorHAnsi"/>
          <w:color w:val="000000" w:themeColor="text1"/>
          <w:sz w:val="20"/>
        </w:rPr>
        <w:t>dijo la Contraloría, “</w:t>
      </w:r>
      <w:r w:rsidR="00C21873" w:rsidRPr="00AD1CFE">
        <w:rPr>
          <w:rFonts w:asciiTheme="minorHAnsi" w:hAnsiTheme="minorHAnsi" w:cstheme="minorHAnsi"/>
          <w:color w:val="000000" w:themeColor="text1"/>
          <w:sz w:val="20"/>
        </w:rPr>
        <w:t>con la salvedad señalada, no cabe entender como de carácter res</w:t>
      </w:r>
      <w:bookmarkStart w:id="3" w:name="_GoBack"/>
      <w:bookmarkEnd w:id="3"/>
      <w:r w:rsidR="00C21873" w:rsidRPr="00AD1CFE">
        <w:rPr>
          <w:rFonts w:asciiTheme="minorHAnsi" w:hAnsiTheme="minorHAnsi" w:cstheme="minorHAnsi"/>
          <w:color w:val="000000" w:themeColor="text1"/>
          <w:sz w:val="20"/>
        </w:rPr>
        <w:t>ervado o secreto el sistema de recaudación y cobranza establecido en la preceptiva en examen, la que contempla, por una parte, la confección por parte del Servicio de Tesorería de listas o nóminas de deudores -artículo 169 del Código Tributario-, y, por la otra -entre las medidas tendientes a agilizar el entero en arcas fiscales de las acreencias respectivas, y de acuerdo al artículo 185 del mismo Código-, la obligación de dar la mayor publicidad posible a las subastas a que dé l</w:t>
      </w:r>
      <w:r w:rsidR="00D031AA" w:rsidRPr="00AD1CFE">
        <w:rPr>
          <w:rFonts w:asciiTheme="minorHAnsi" w:hAnsiTheme="minorHAnsi" w:cstheme="minorHAnsi"/>
          <w:color w:val="000000" w:themeColor="text1"/>
          <w:sz w:val="20"/>
        </w:rPr>
        <w:t>ugar su cobro”</w:t>
      </w:r>
      <w:r w:rsidR="00990776" w:rsidRPr="00AD1CFE">
        <w:rPr>
          <w:rStyle w:val="Refdenotaalpie"/>
          <w:rFonts w:asciiTheme="minorHAnsi" w:hAnsiTheme="minorHAnsi" w:cstheme="minorHAnsi"/>
          <w:color w:val="000000" w:themeColor="text1"/>
          <w:sz w:val="20"/>
        </w:rPr>
        <w:footnoteReference w:id="11"/>
      </w:r>
    </w:p>
    <w:p w:rsidR="002621B8" w:rsidRPr="00AD1CFE" w:rsidRDefault="00D031AA" w:rsidP="00FB1808">
      <w:pPr>
        <w:spacing w:before="100" w:beforeAutospacing="1" w:after="100" w:afterAutospacing="1" w:line="360" w:lineRule="auto"/>
        <w:jc w:val="both"/>
        <w:rPr>
          <w:rFonts w:asciiTheme="minorHAnsi" w:hAnsiTheme="minorHAnsi" w:cstheme="minorHAnsi"/>
          <w:color w:val="000000" w:themeColor="text1"/>
          <w:sz w:val="20"/>
          <w:lang w:eastAsia="es-CL"/>
        </w:rPr>
      </w:pPr>
      <w:r w:rsidRPr="00AD1CFE">
        <w:rPr>
          <w:rFonts w:asciiTheme="minorHAnsi" w:hAnsiTheme="minorHAnsi" w:cstheme="minorHAnsi"/>
          <w:color w:val="000000" w:themeColor="text1"/>
          <w:sz w:val="20"/>
          <w:lang w:eastAsia="es-CL"/>
        </w:rPr>
        <w:tab/>
      </w:r>
      <w:r w:rsidR="007052EB" w:rsidRPr="00AD1CFE">
        <w:rPr>
          <w:rFonts w:asciiTheme="minorHAnsi" w:hAnsiTheme="minorHAnsi" w:cstheme="minorHAnsi"/>
          <w:color w:val="000000" w:themeColor="text1"/>
          <w:sz w:val="20"/>
          <w:lang w:eastAsia="es-CL"/>
        </w:rPr>
        <w:t xml:space="preserve">En relación con el </w:t>
      </w:r>
      <w:r w:rsidRPr="00AD1CFE">
        <w:rPr>
          <w:rFonts w:asciiTheme="minorHAnsi" w:hAnsiTheme="minorHAnsi" w:cstheme="minorHAnsi"/>
          <w:color w:val="000000" w:themeColor="text1"/>
          <w:sz w:val="20"/>
          <w:lang w:eastAsia="es-CL"/>
        </w:rPr>
        <w:t>recién citado d</w:t>
      </w:r>
      <w:r w:rsidR="007052EB" w:rsidRPr="00AD1CFE">
        <w:rPr>
          <w:rFonts w:asciiTheme="minorHAnsi" w:hAnsiTheme="minorHAnsi" w:cstheme="minorHAnsi"/>
          <w:color w:val="000000" w:themeColor="text1"/>
          <w:sz w:val="20"/>
          <w:lang w:eastAsia="es-CL"/>
        </w:rPr>
        <w:t xml:space="preserve">ictamen N° 25.336, de 2002, </w:t>
      </w:r>
      <w:r w:rsidRPr="00AD1CFE">
        <w:rPr>
          <w:rFonts w:asciiTheme="minorHAnsi" w:hAnsiTheme="minorHAnsi" w:cstheme="minorHAnsi"/>
          <w:color w:val="000000" w:themeColor="text1"/>
          <w:sz w:val="20"/>
          <w:lang w:eastAsia="es-CL"/>
        </w:rPr>
        <w:t>l</w:t>
      </w:r>
      <w:r w:rsidR="007052EB" w:rsidRPr="00AD1CFE">
        <w:rPr>
          <w:rFonts w:asciiTheme="minorHAnsi" w:hAnsiTheme="minorHAnsi" w:cstheme="minorHAnsi"/>
          <w:color w:val="000000" w:themeColor="text1"/>
          <w:sz w:val="20"/>
          <w:lang w:eastAsia="es-CL"/>
        </w:rPr>
        <w:t xml:space="preserve">a Tesorería </w:t>
      </w:r>
      <w:r w:rsidR="00471EA4" w:rsidRPr="00AD1CFE">
        <w:rPr>
          <w:rFonts w:asciiTheme="minorHAnsi" w:hAnsiTheme="minorHAnsi" w:cstheme="minorHAnsi"/>
          <w:color w:val="000000" w:themeColor="text1"/>
          <w:sz w:val="20"/>
          <w:lang w:eastAsia="es-CL"/>
        </w:rPr>
        <w:t>General solicito</w:t>
      </w:r>
      <w:r w:rsidR="007052EB" w:rsidRPr="00AD1CFE">
        <w:rPr>
          <w:rFonts w:asciiTheme="minorHAnsi" w:hAnsiTheme="minorHAnsi" w:cstheme="minorHAnsi"/>
          <w:color w:val="000000" w:themeColor="text1"/>
          <w:sz w:val="20"/>
          <w:lang w:eastAsia="es-CL"/>
        </w:rPr>
        <w:t xml:space="preserve"> un </w:t>
      </w:r>
      <w:r w:rsidR="00062468">
        <w:rPr>
          <w:rFonts w:asciiTheme="minorHAnsi" w:hAnsiTheme="minorHAnsi" w:cstheme="minorHAnsi"/>
          <w:color w:val="000000" w:themeColor="text1"/>
          <w:sz w:val="20"/>
          <w:lang w:eastAsia="es-CL"/>
        </w:rPr>
        <w:t xml:space="preserve">nuevo </w:t>
      </w:r>
      <w:r w:rsidR="007052EB" w:rsidRPr="00AD1CFE">
        <w:rPr>
          <w:rFonts w:asciiTheme="minorHAnsi" w:hAnsiTheme="minorHAnsi" w:cstheme="minorHAnsi"/>
          <w:color w:val="000000" w:themeColor="text1"/>
          <w:sz w:val="20"/>
          <w:lang w:eastAsia="es-CL"/>
        </w:rPr>
        <w:t>pronunciamiento a la C</w:t>
      </w:r>
      <w:r w:rsidR="00D96C1B" w:rsidRPr="00AD1CFE">
        <w:rPr>
          <w:rFonts w:asciiTheme="minorHAnsi" w:hAnsiTheme="minorHAnsi" w:cstheme="minorHAnsi"/>
          <w:color w:val="000000" w:themeColor="text1"/>
          <w:sz w:val="20"/>
          <w:lang w:eastAsia="es-CL"/>
        </w:rPr>
        <w:t>o</w:t>
      </w:r>
      <w:r w:rsidR="007052EB" w:rsidRPr="00AD1CFE">
        <w:rPr>
          <w:rFonts w:asciiTheme="minorHAnsi" w:hAnsiTheme="minorHAnsi" w:cstheme="minorHAnsi"/>
          <w:color w:val="000000" w:themeColor="text1"/>
          <w:sz w:val="20"/>
          <w:lang w:eastAsia="es-CL"/>
        </w:rPr>
        <w:t>ntraloría General de la Republica en el sentido de precisar si Ley N° 19.628</w:t>
      </w:r>
      <w:r w:rsidR="00062468">
        <w:rPr>
          <w:rFonts w:asciiTheme="minorHAnsi" w:hAnsiTheme="minorHAnsi" w:cstheme="minorHAnsi"/>
          <w:color w:val="000000" w:themeColor="text1"/>
          <w:sz w:val="20"/>
          <w:lang w:eastAsia="es-CL"/>
        </w:rPr>
        <w:t xml:space="preserve"> </w:t>
      </w:r>
      <w:r w:rsidR="007052EB" w:rsidRPr="00AD1CFE">
        <w:rPr>
          <w:rFonts w:asciiTheme="minorHAnsi" w:hAnsiTheme="minorHAnsi" w:cstheme="minorHAnsi"/>
          <w:color w:val="000000" w:themeColor="text1"/>
          <w:sz w:val="20"/>
          <w:lang w:eastAsia="es-CL"/>
        </w:rPr>
        <w:t>contiene disposiciones que obstarían a la celebración de los mencionados acuerdos de voluntades.</w:t>
      </w:r>
      <w:r w:rsidRPr="00AD1CFE">
        <w:rPr>
          <w:rFonts w:asciiTheme="minorHAnsi" w:hAnsiTheme="minorHAnsi" w:cstheme="minorHAnsi"/>
          <w:color w:val="000000" w:themeColor="text1"/>
          <w:sz w:val="20"/>
          <w:lang w:eastAsia="es-CL"/>
        </w:rPr>
        <w:t xml:space="preserve"> </w:t>
      </w:r>
    </w:p>
    <w:p w:rsidR="002621B8" w:rsidRPr="0079632A" w:rsidRDefault="002621B8" w:rsidP="00FB1808">
      <w:pPr>
        <w:spacing w:before="100" w:beforeAutospacing="1" w:after="100" w:afterAutospacing="1" w:line="360" w:lineRule="auto"/>
        <w:jc w:val="both"/>
        <w:rPr>
          <w:rFonts w:asciiTheme="minorHAnsi" w:hAnsiTheme="minorHAnsi" w:cstheme="minorHAnsi"/>
          <w:color w:val="000000" w:themeColor="text1"/>
          <w:sz w:val="20"/>
          <w:lang w:eastAsia="es-CL"/>
        </w:rPr>
      </w:pPr>
      <w:r w:rsidRPr="00AD1CFE">
        <w:rPr>
          <w:rFonts w:asciiTheme="minorHAnsi" w:hAnsiTheme="minorHAnsi" w:cstheme="minorHAnsi"/>
          <w:color w:val="000000" w:themeColor="text1"/>
          <w:sz w:val="20"/>
          <w:lang w:eastAsia="es-CL"/>
        </w:rPr>
        <w:tab/>
      </w:r>
      <w:r w:rsidR="00D031AA" w:rsidRPr="00AD1CFE">
        <w:rPr>
          <w:rFonts w:asciiTheme="minorHAnsi" w:hAnsiTheme="minorHAnsi" w:cstheme="minorHAnsi"/>
          <w:color w:val="000000" w:themeColor="text1"/>
          <w:sz w:val="20"/>
          <w:lang w:eastAsia="es-CL"/>
        </w:rPr>
        <w:t xml:space="preserve">Es así como en </w:t>
      </w:r>
      <w:r w:rsidR="007052EB" w:rsidRPr="00AD1CFE">
        <w:rPr>
          <w:rFonts w:asciiTheme="minorHAnsi" w:hAnsiTheme="minorHAnsi" w:cstheme="minorHAnsi"/>
          <w:color w:val="000000" w:themeColor="text1"/>
          <w:sz w:val="20"/>
        </w:rPr>
        <w:t xml:space="preserve">dictamen 43866 del año 2003, la </w:t>
      </w:r>
      <w:r w:rsidR="00D031AA" w:rsidRPr="00AD1CFE">
        <w:rPr>
          <w:rFonts w:asciiTheme="minorHAnsi" w:hAnsiTheme="minorHAnsi" w:cstheme="minorHAnsi"/>
          <w:color w:val="000000" w:themeColor="text1"/>
          <w:sz w:val="20"/>
        </w:rPr>
        <w:t>C</w:t>
      </w:r>
      <w:r w:rsidR="007052EB" w:rsidRPr="00AD1CFE">
        <w:rPr>
          <w:rFonts w:asciiTheme="minorHAnsi" w:hAnsiTheme="minorHAnsi" w:cstheme="minorHAnsi"/>
          <w:color w:val="000000" w:themeColor="text1"/>
          <w:sz w:val="20"/>
        </w:rPr>
        <w:t>ontraloría señalo que “</w:t>
      </w:r>
      <w:r w:rsidR="007052EB" w:rsidRPr="00AD1CFE">
        <w:rPr>
          <w:rFonts w:asciiTheme="minorHAnsi" w:hAnsiTheme="minorHAnsi" w:cstheme="minorHAnsi"/>
          <w:color w:val="000000" w:themeColor="text1"/>
          <w:sz w:val="20"/>
          <w:lang w:eastAsia="es-CL"/>
        </w:rPr>
        <w:t xml:space="preserve">Estima dicho organismo que la aludida preceptiva legal no tendría incidencia en la materia, dado que la información de que se trata, por estar relacionada con el sistema de recaudación y cobranza que incumbe a ese Servicio, no tiene el carácter de reservada o secreta, puesto que se trata de datos que se obtienen en algunas de las etapas del procedimiento de cobro ejecutivo a que se refiere el Título V del Libro III del Código Tributario, cuando el deudor ya ha sido </w:t>
      </w:r>
      <w:r w:rsidR="007052EB" w:rsidRPr="00AD1CFE">
        <w:rPr>
          <w:rFonts w:asciiTheme="minorHAnsi" w:hAnsiTheme="minorHAnsi" w:cstheme="minorHAnsi"/>
          <w:color w:val="000000" w:themeColor="text1"/>
          <w:sz w:val="20"/>
          <w:lang w:eastAsia="es-CL"/>
        </w:rPr>
        <w:lastRenderedPageBreak/>
        <w:t xml:space="preserve">notificado y requerido de pago, de manera que esos antecedentes tienen el carácter de públicos, los cuales, por ende, se encuentran en su sitio web, a disposición de la persona que desee </w:t>
      </w:r>
      <w:r w:rsidR="007052EB" w:rsidRPr="0079632A">
        <w:rPr>
          <w:rFonts w:asciiTheme="minorHAnsi" w:hAnsiTheme="minorHAnsi" w:cstheme="minorHAnsi"/>
          <w:color w:val="000000" w:themeColor="text1"/>
          <w:sz w:val="20"/>
          <w:lang w:eastAsia="es-CL"/>
        </w:rPr>
        <w:t>consultarlos.</w:t>
      </w:r>
      <w:r w:rsidR="00A556A8" w:rsidRPr="0079632A">
        <w:rPr>
          <w:rStyle w:val="Refdenotaalpie"/>
          <w:rFonts w:asciiTheme="minorHAnsi" w:hAnsiTheme="minorHAnsi" w:cstheme="minorHAnsi"/>
          <w:color w:val="000000" w:themeColor="text1"/>
          <w:sz w:val="20"/>
          <w:lang w:eastAsia="es-CL"/>
        </w:rPr>
        <w:footnoteReference w:id="12"/>
      </w:r>
    </w:p>
    <w:p w:rsidR="006404F6" w:rsidRPr="0079632A" w:rsidRDefault="007967B9" w:rsidP="00AD1CFE">
      <w:pPr>
        <w:spacing w:before="100" w:beforeAutospacing="1" w:after="100" w:afterAutospacing="1" w:line="360" w:lineRule="auto"/>
        <w:ind w:firstLine="708"/>
        <w:jc w:val="both"/>
        <w:rPr>
          <w:rFonts w:asciiTheme="minorHAnsi" w:hAnsiTheme="minorHAnsi" w:cstheme="minorHAnsi"/>
          <w:b/>
          <w:color w:val="000000" w:themeColor="text1"/>
          <w:sz w:val="20"/>
          <w:u w:val="single"/>
        </w:rPr>
      </w:pPr>
      <w:r>
        <w:rPr>
          <w:rFonts w:asciiTheme="minorHAnsi" w:hAnsiTheme="minorHAnsi" w:cstheme="minorHAnsi"/>
          <w:b/>
          <w:color w:val="000000" w:themeColor="text1"/>
          <w:sz w:val="20"/>
          <w:u w:val="single"/>
        </w:rPr>
        <w:t xml:space="preserve">EXCELENTÍSIMA </w:t>
      </w:r>
      <w:r w:rsidRPr="0079632A">
        <w:rPr>
          <w:rFonts w:asciiTheme="minorHAnsi" w:hAnsiTheme="minorHAnsi" w:cstheme="minorHAnsi"/>
          <w:b/>
          <w:color w:val="000000" w:themeColor="text1"/>
          <w:sz w:val="20"/>
          <w:u w:val="single"/>
        </w:rPr>
        <w:t>CORTE SUPREMA.</w:t>
      </w:r>
    </w:p>
    <w:p w:rsidR="001A0C12" w:rsidRPr="0079632A" w:rsidRDefault="001A0C12" w:rsidP="00FB1808">
      <w:pPr>
        <w:spacing w:before="100" w:beforeAutospacing="1" w:after="100" w:afterAutospacing="1" w:line="360" w:lineRule="auto"/>
        <w:jc w:val="both"/>
        <w:rPr>
          <w:rFonts w:asciiTheme="minorHAnsi" w:hAnsiTheme="minorHAnsi" w:cstheme="minorHAnsi"/>
          <w:b/>
          <w:color w:val="000000" w:themeColor="text1"/>
          <w:sz w:val="20"/>
          <w:u w:val="single"/>
          <w:lang w:eastAsia="es-CL"/>
        </w:rPr>
      </w:pPr>
      <w:r w:rsidRPr="0079632A">
        <w:rPr>
          <w:rFonts w:asciiTheme="minorHAnsi" w:hAnsiTheme="minorHAnsi" w:cstheme="minorHAnsi"/>
          <w:color w:val="000000" w:themeColor="text1"/>
          <w:sz w:val="20"/>
        </w:rPr>
        <w:tab/>
      </w:r>
      <w:r w:rsidR="00471EA4" w:rsidRPr="0079632A">
        <w:rPr>
          <w:rFonts w:asciiTheme="minorHAnsi" w:hAnsiTheme="minorHAnsi" w:cstheme="minorHAnsi"/>
          <w:color w:val="000000" w:themeColor="text1"/>
          <w:sz w:val="20"/>
        </w:rPr>
        <w:t>L</w:t>
      </w:r>
      <w:r w:rsidR="00471EA4" w:rsidRPr="0079632A">
        <w:rPr>
          <w:rFonts w:asciiTheme="minorHAnsi" w:hAnsiTheme="minorHAnsi" w:cstheme="minorHAnsi"/>
          <w:color w:val="000000"/>
          <w:sz w:val="20"/>
          <w:lang w:eastAsia="es-CL"/>
        </w:rPr>
        <w:t>a Ilustre</w:t>
      </w:r>
      <w:r w:rsidRPr="0079632A">
        <w:rPr>
          <w:rFonts w:asciiTheme="minorHAnsi" w:hAnsiTheme="minorHAnsi" w:cstheme="minorHAnsi"/>
          <w:color w:val="000000"/>
          <w:sz w:val="20"/>
          <w:lang w:eastAsia="es-CL"/>
        </w:rPr>
        <w:t xml:space="preserve"> Corte de Apelaciones de Santiago en causa rol 918–2006; nº 919-2006 y 1141 año 2006 </w:t>
      </w:r>
      <w:r w:rsidR="0081600D" w:rsidRPr="0079632A">
        <w:rPr>
          <w:rFonts w:asciiTheme="minorHAnsi" w:hAnsiTheme="minorHAnsi" w:cstheme="minorHAnsi"/>
          <w:color w:val="000000"/>
          <w:sz w:val="20"/>
          <w:lang w:eastAsia="es-CL"/>
        </w:rPr>
        <w:t>confirmados</w:t>
      </w:r>
      <w:r w:rsidRPr="0079632A">
        <w:rPr>
          <w:rFonts w:asciiTheme="minorHAnsi" w:hAnsiTheme="minorHAnsi" w:cstheme="minorHAnsi"/>
          <w:color w:val="000000"/>
          <w:sz w:val="20"/>
          <w:lang w:eastAsia="es-CL"/>
        </w:rPr>
        <w:t xml:space="preserve"> por la Excelentísima Corte Suprema</w:t>
      </w:r>
      <w:r w:rsidRPr="0079632A">
        <w:rPr>
          <w:rFonts w:asciiTheme="minorHAnsi" w:hAnsiTheme="minorHAnsi" w:cstheme="minorHAnsi"/>
          <w:color w:val="000000" w:themeColor="text1"/>
          <w:sz w:val="20"/>
        </w:rPr>
        <w:t>, señaló que:</w:t>
      </w:r>
    </w:p>
    <w:p w:rsidR="001A0C12" w:rsidRPr="00AD1CFE" w:rsidRDefault="001A0C12" w:rsidP="00FB1808">
      <w:pPr>
        <w:spacing w:before="100" w:beforeAutospacing="1" w:after="100" w:afterAutospacing="1" w:line="360" w:lineRule="auto"/>
        <w:jc w:val="both"/>
        <w:rPr>
          <w:rFonts w:asciiTheme="minorHAnsi" w:hAnsiTheme="minorHAnsi" w:cstheme="minorHAnsi"/>
          <w:color w:val="000000" w:themeColor="text1"/>
          <w:sz w:val="20"/>
          <w:lang w:eastAsia="es-CL"/>
        </w:rPr>
      </w:pPr>
      <w:r w:rsidRPr="00AD1CFE">
        <w:rPr>
          <w:rFonts w:asciiTheme="minorHAnsi" w:hAnsiTheme="minorHAnsi" w:cstheme="minorHAnsi"/>
          <w:color w:val="000000" w:themeColor="text1"/>
          <w:sz w:val="20"/>
          <w:lang w:eastAsia="es-CL"/>
        </w:rPr>
        <w:t xml:space="preserve">       “Que atendido lo que se ha venido diciendo, no se advierte que la información de morosidad que la </w:t>
      </w:r>
      <w:r w:rsidRPr="00AD1CFE">
        <w:rPr>
          <w:rFonts w:asciiTheme="minorHAnsi" w:hAnsiTheme="minorHAnsi" w:cstheme="minorHAnsi"/>
          <w:bCs/>
          <w:color w:val="000000" w:themeColor="text1"/>
          <w:sz w:val="20"/>
          <w:lang w:eastAsia="es-CL"/>
        </w:rPr>
        <w:t>Tesorería</w:t>
      </w:r>
      <w:r w:rsidRPr="00AD1CFE">
        <w:rPr>
          <w:rFonts w:asciiTheme="minorHAnsi" w:hAnsiTheme="minorHAnsi" w:cstheme="minorHAnsi"/>
          <w:color w:val="000000" w:themeColor="text1"/>
          <w:sz w:val="20"/>
          <w:lang w:eastAsia="es-CL"/>
        </w:rPr>
        <w:t> General de la República se obliga a proporcionar a la empresa Dicom S.A., sea de aquellas que tengan el carácter de secreta o reservada, en la medida que es información que pertenece al sistema de recaudación y cobranza que ejerce ese Servicio con motivo de su actividad, que es pública, en cuanto se encuentra en alguna de las </w:t>
      </w:r>
      <w:r w:rsidRPr="00AD1CFE">
        <w:rPr>
          <w:rFonts w:asciiTheme="minorHAnsi" w:hAnsiTheme="minorHAnsi" w:cstheme="minorHAnsi"/>
          <w:bCs/>
          <w:color w:val="000000" w:themeColor="text1"/>
          <w:sz w:val="20"/>
          <w:lang w:eastAsia="es-CL"/>
        </w:rPr>
        <w:t>etapas</w:t>
      </w:r>
      <w:r w:rsidRPr="00AD1CFE">
        <w:rPr>
          <w:rFonts w:asciiTheme="minorHAnsi" w:hAnsiTheme="minorHAnsi" w:cstheme="minorHAnsi"/>
          <w:color w:val="000000" w:themeColor="text1"/>
          <w:sz w:val="20"/>
          <w:lang w:eastAsia="es-CL"/>
        </w:rPr>
        <w:t> del procedimiento de cobro a que se refiere el Título V del Libro III del Código Tributario.  Es menester tener presente, además, que de acuerdo a lo dispuesto en el artículo 35 inciso 2º del Código Tributario, el secreto o reserva de información está circunscrito sólo a los datos que deben obligatoriamente presentar los contribuyentes al SII, relativos a la cuantía de sus rentas, su fuente, pérdidas, gastos y cualquier otro antecedente relativo a sus rentas o inversiones, y es una obligación que pesa sobre el Director y los funcionarios del Servicio, la de no divulgar aquello que conocen por su función fiscalizadora”</w:t>
      </w:r>
      <w:r w:rsidRPr="00AD1CFE">
        <w:rPr>
          <w:rStyle w:val="Refdenotaalpie"/>
          <w:rFonts w:asciiTheme="minorHAnsi" w:hAnsiTheme="minorHAnsi" w:cstheme="minorHAnsi"/>
          <w:color w:val="000000" w:themeColor="text1"/>
          <w:sz w:val="20"/>
          <w:lang w:eastAsia="es-CL"/>
        </w:rPr>
        <w:footnoteReference w:id="13"/>
      </w:r>
    </w:p>
    <w:p w:rsidR="00E16BB5" w:rsidRPr="0079632A" w:rsidRDefault="00E16BB5" w:rsidP="00FB1808">
      <w:pPr>
        <w:spacing w:line="360" w:lineRule="auto"/>
        <w:jc w:val="both"/>
        <w:rPr>
          <w:rFonts w:asciiTheme="minorHAnsi" w:hAnsiTheme="minorHAnsi" w:cstheme="minorHAnsi"/>
          <w:color w:val="000000" w:themeColor="text1"/>
          <w:sz w:val="20"/>
        </w:rPr>
      </w:pPr>
    </w:p>
    <w:p w:rsidR="004F28B3" w:rsidRPr="0079632A" w:rsidRDefault="0094189E" w:rsidP="00FB1808">
      <w:pPr>
        <w:spacing w:line="360" w:lineRule="auto"/>
        <w:jc w:val="both"/>
        <w:rPr>
          <w:rFonts w:asciiTheme="minorHAnsi" w:hAnsiTheme="minorHAnsi" w:cstheme="minorHAnsi"/>
          <w:b/>
          <w:color w:val="000000" w:themeColor="text1"/>
          <w:sz w:val="20"/>
          <w:u w:val="single"/>
        </w:rPr>
      </w:pPr>
      <w:r w:rsidRPr="0079632A">
        <w:rPr>
          <w:rFonts w:asciiTheme="minorHAnsi" w:hAnsiTheme="minorHAnsi" w:cstheme="minorHAnsi"/>
          <w:color w:val="000000" w:themeColor="text1"/>
          <w:sz w:val="20"/>
        </w:rPr>
        <w:tab/>
      </w:r>
      <w:r w:rsidR="001A0C12" w:rsidRPr="0079632A">
        <w:rPr>
          <w:rFonts w:asciiTheme="minorHAnsi" w:hAnsiTheme="minorHAnsi" w:cstheme="minorHAnsi"/>
          <w:b/>
          <w:color w:val="000000" w:themeColor="text1"/>
          <w:sz w:val="20"/>
          <w:u w:val="single"/>
        </w:rPr>
        <w:t>CONCLUSIÓN</w:t>
      </w:r>
      <w:r w:rsidR="004F28B3" w:rsidRPr="0079632A">
        <w:rPr>
          <w:rFonts w:asciiTheme="minorHAnsi" w:hAnsiTheme="minorHAnsi" w:cstheme="minorHAnsi"/>
          <w:b/>
          <w:color w:val="000000" w:themeColor="text1"/>
          <w:sz w:val="20"/>
          <w:u w:val="single"/>
        </w:rPr>
        <w:t xml:space="preserve"> </w:t>
      </w:r>
    </w:p>
    <w:p w:rsidR="00876C68" w:rsidRPr="0079632A" w:rsidRDefault="00876C68" w:rsidP="00FB1808">
      <w:pPr>
        <w:pStyle w:val="Textoindependiente"/>
        <w:spacing w:line="360" w:lineRule="auto"/>
        <w:jc w:val="both"/>
        <w:rPr>
          <w:rFonts w:asciiTheme="minorHAnsi" w:hAnsiTheme="minorHAnsi" w:cstheme="minorHAnsi"/>
          <w:sz w:val="20"/>
        </w:rPr>
      </w:pPr>
    </w:p>
    <w:p w:rsidR="00E757F8" w:rsidRDefault="00E757F8" w:rsidP="00FB1808">
      <w:pPr>
        <w:pStyle w:val="Textoindependiente"/>
        <w:spacing w:line="360" w:lineRule="auto"/>
        <w:jc w:val="both"/>
        <w:rPr>
          <w:rFonts w:asciiTheme="minorHAnsi" w:hAnsiTheme="minorHAnsi" w:cstheme="minorHAnsi"/>
          <w:sz w:val="20"/>
        </w:rPr>
      </w:pPr>
      <w:r w:rsidRPr="0079632A">
        <w:rPr>
          <w:rFonts w:asciiTheme="minorHAnsi" w:hAnsiTheme="minorHAnsi" w:cstheme="minorHAnsi"/>
          <w:sz w:val="20"/>
        </w:rPr>
        <w:t xml:space="preserve">Los expedientes de requerimiento administrativo son públicos desde el momento de su notificación al deudor. Respecto a este punto </w:t>
      </w:r>
      <w:r w:rsidR="0081600D" w:rsidRPr="0079632A">
        <w:rPr>
          <w:rFonts w:asciiTheme="minorHAnsi" w:hAnsiTheme="minorHAnsi" w:cstheme="minorHAnsi"/>
          <w:sz w:val="20"/>
        </w:rPr>
        <w:t xml:space="preserve">hay uniformidad de criterios en las sentencias de las Cortes Superiores de Justicia y los dictámenes de la Contraloría. </w:t>
      </w:r>
    </w:p>
    <w:p w:rsidR="00AD1CFE" w:rsidRPr="0079632A" w:rsidRDefault="00AD1CFE" w:rsidP="00FB1808">
      <w:pPr>
        <w:pStyle w:val="Textoindependiente"/>
        <w:spacing w:line="360" w:lineRule="auto"/>
        <w:jc w:val="both"/>
        <w:rPr>
          <w:rFonts w:asciiTheme="minorHAnsi" w:hAnsiTheme="minorHAnsi" w:cstheme="minorHAnsi"/>
          <w:sz w:val="20"/>
        </w:rPr>
      </w:pPr>
    </w:p>
    <w:p w:rsidR="00E757F8" w:rsidRDefault="00CB0C42" w:rsidP="00FB1808">
      <w:pPr>
        <w:pStyle w:val="Textoindependiente"/>
        <w:spacing w:line="360" w:lineRule="auto"/>
        <w:jc w:val="both"/>
        <w:rPr>
          <w:rFonts w:asciiTheme="minorHAnsi" w:hAnsiTheme="minorHAnsi" w:cstheme="minorHAnsi"/>
          <w:sz w:val="20"/>
        </w:rPr>
      </w:pPr>
      <w:r w:rsidRPr="0079632A">
        <w:rPr>
          <w:rFonts w:asciiTheme="minorHAnsi" w:hAnsiTheme="minorHAnsi" w:cstheme="minorHAnsi"/>
          <w:sz w:val="20"/>
        </w:rPr>
        <w:t>El secreto y la reserva tributaria no amparan el contenido de la información existente en los expedientes de cobro administrativo.</w:t>
      </w:r>
    </w:p>
    <w:p w:rsidR="00AD1CFE" w:rsidRPr="0079632A" w:rsidRDefault="00AD1CFE" w:rsidP="00FB1808">
      <w:pPr>
        <w:pStyle w:val="Textoindependiente"/>
        <w:spacing w:line="360" w:lineRule="auto"/>
        <w:jc w:val="both"/>
        <w:rPr>
          <w:rFonts w:asciiTheme="minorHAnsi" w:hAnsiTheme="minorHAnsi" w:cstheme="minorHAnsi"/>
          <w:sz w:val="20"/>
        </w:rPr>
      </w:pPr>
    </w:p>
    <w:p w:rsidR="0081600D" w:rsidRDefault="00E757F8" w:rsidP="00FB1808">
      <w:pPr>
        <w:pStyle w:val="Textoindependiente"/>
        <w:spacing w:line="360" w:lineRule="auto"/>
        <w:jc w:val="both"/>
        <w:rPr>
          <w:rFonts w:asciiTheme="minorHAnsi" w:hAnsiTheme="minorHAnsi" w:cstheme="minorHAnsi"/>
          <w:sz w:val="20"/>
        </w:rPr>
      </w:pPr>
      <w:r w:rsidRPr="0079632A">
        <w:rPr>
          <w:rFonts w:asciiTheme="minorHAnsi" w:hAnsiTheme="minorHAnsi" w:cstheme="minorHAnsi"/>
          <w:sz w:val="20"/>
        </w:rPr>
        <w:t xml:space="preserve">Más aún, es la misma </w:t>
      </w:r>
      <w:r w:rsidR="0081600D" w:rsidRPr="0079632A">
        <w:rPr>
          <w:rFonts w:asciiTheme="minorHAnsi" w:hAnsiTheme="minorHAnsi" w:cstheme="minorHAnsi"/>
          <w:sz w:val="20"/>
        </w:rPr>
        <w:t>Tesorería General de la Republica</w:t>
      </w:r>
      <w:r w:rsidRPr="0079632A">
        <w:rPr>
          <w:rFonts w:asciiTheme="minorHAnsi" w:hAnsiTheme="minorHAnsi" w:cstheme="minorHAnsi"/>
          <w:sz w:val="20"/>
        </w:rPr>
        <w:t xml:space="preserve"> la que reafirma esta </w:t>
      </w:r>
      <w:r w:rsidR="00471EA4" w:rsidRPr="0079632A">
        <w:rPr>
          <w:rFonts w:asciiTheme="minorHAnsi" w:hAnsiTheme="minorHAnsi" w:cstheme="minorHAnsi"/>
          <w:sz w:val="20"/>
        </w:rPr>
        <w:t>posición, tanto</w:t>
      </w:r>
      <w:r w:rsidR="0081600D" w:rsidRPr="0079632A">
        <w:rPr>
          <w:rFonts w:asciiTheme="minorHAnsi" w:hAnsiTheme="minorHAnsi" w:cstheme="minorHAnsi"/>
          <w:sz w:val="20"/>
        </w:rPr>
        <w:t xml:space="preserve"> en su normativa interna</w:t>
      </w:r>
      <w:r w:rsidRPr="0079632A">
        <w:rPr>
          <w:rFonts w:asciiTheme="minorHAnsi" w:hAnsiTheme="minorHAnsi" w:cstheme="minorHAnsi"/>
          <w:sz w:val="20"/>
        </w:rPr>
        <w:t xml:space="preserve">, </w:t>
      </w:r>
      <w:r w:rsidR="0081600D" w:rsidRPr="0079632A">
        <w:rPr>
          <w:rFonts w:asciiTheme="minorHAnsi" w:hAnsiTheme="minorHAnsi" w:cstheme="minorHAnsi"/>
          <w:sz w:val="20"/>
        </w:rPr>
        <w:t xml:space="preserve">en sus informes presentados ante las cortes de protección </w:t>
      </w:r>
      <w:r w:rsidRPr="0079632A">
        <w:rPr>
          <w:rFonts w:asciiTheme="minorHAnsi" w:hAnsiTheme="minorHAnsi" w:cstheme="minorHAnsi"/>
          <w:sz w:val="20"/>
        </w:rPr>
        <w:t>y en las solicitudes para pronunciamientos realizadas a la Contraloría general de la Republica</w:t>
      </w:r>
      <w:r w:rsidR="00062468">
        <w:rPr>
          <w:rFonts w:asciiTheme="minorHAnsi" w:hAnsiTheme="minorHAnsi" w:cstheme="minorHAnsi"/>
          <w:sz w:val="20"/>
        </w:rPr>
        <w:t>.</w:t>
      </w:r>
    </w:p>
    <w:p w:rsidR="00AD1CFE" w:rsidRPr="0079632A" w:rsidRDefault="00AD1CFE" w:rsidP="00FB1808">
      <w:pPr>
        <w:pStyle w:val="Textoindependiente"/>
        <w:spacing w:line="360" w:lineRule="auto"/>
        <w:jc w:val="both"/>
        <w:rPr>
          <w:rFonts w:asciiTheme="minorHAnsi" w:hAnsiTheme="minorHAnsi" w:cstheme="minorHAnsi"/>
          <w:sz w:val="20"/>
        </w:rPr>
      </w:pPr>
    </w:p>
    <w:p w:rsidR="002C134D" w:rsidRDefault="0081600D" w:rsidP="00FB1808">
      <w:pPr>
        <w:pStyle w:val="Textoindependiente"/>
        <w:spacing w:line="360" w:lineRule="auto"/>
        <w:jc w:val="both"/>
        <w:rPr>
          <w:rFonts w:asciiTheme="minorHAnsi" w:hAnsiTheme="minorHAnsi" w:cstheme="minorHAnsi"/>
          <w:sz w:val="20"/>
        </w:rPr>
      </w:pPr>
      <w:r w:rsidRPr="0079632A">
        <w:rPr>
          <w:rFonts w:asciiTheme="minorHAnsi" w:hAnsiTheme="minorHAnsi" w:cstheme="minorHAnsi"/>
          <w:sz w:val="20"/>
        </w:rPr>
        <w:t xml:space="preserve">Los casos Dicom </w:t>
      </w:r>
      <w:r w:rsidR="00E757F8" w:rsidRPr="0079632A">
        <w:rPr>
          <w:rFonts w:asciiTheme="minorHAnsi" w:hAnsiTheme="minorHAnsi" w:cstheme="minorHAnsi"/>
          <w:sz w:val="20"/>
        </w:rPr>
        <w:t xml:space="preserve">en nada </w:t>
      </w:r>
      <w:r w:rsidRPr="0079632A">
        <w:rPr>
          <w:rFonts w:asciiTheme="minorHAnsi" w:hAnsiTheme="minorHAnsi" w:cstheme="minorHAnsi"/>
          <w:sz w:val="20"/>
        </w:rPr>
        <w:t>no obstan a esta conclusión</w:t>
      </w:r>
      <w:r w:rsidR="00E757F8" w:rsidRPr="0079632A">
        <w:rPr>
          <w:rFonts w:asciiTheme="minorHAnsi" w:hAnsiTheme="minorHAnsi" w:cstheme="minorHAnsi"/>
          <w:sz w:val="20"/>
        </w:rPr>
        <w:t>, por el contrario, la reafirman. E</w:t>
      </w:r>
      <w:r w:rsidRPr="0079632A">
        <w:rPr>
          <w:rFonts w:asciiTheme="minorHAnsi" w:hAnsiTheme="minorHAnsi" w:cstheme="minorHAnsi"/>
          <w:sz w:val="20"/>
        </w:rPr>
        <w:t xml:space="preserve">n </w:t>
      </w:r>
      <w:r w:rsidR="00E757F8" w:rsidRPr="0079632A">
        <w:rPr>
          <w:rFonts w:asciiTheme="minorHAnsi" w:hAnsiTheme="minorHAnsi" w:cstheme="minorHAnsi"/>
          <w:sz w:val="20"/>
        </w:rPr>
        <w:t xml:space="preserve">esos casos, tanto la Tesorería General de la Republica, </w:t>
      </w:r>
      <w:r w:rsidR="002C134D" w:rsidRPr="0079632A">
        <w:rPr>
          <w:rFonts w:asciiTheme="minorHAnsi" w:hAnsiTheme="minorHAnsi" w:cstheme="minorHAnsi"/>
          <w:sz w:val="20"/>
        </w:rPr>
        <w:t xml:space="preserve">las </w:t>
      </w:r>
      <w:r w:rsidR="00E757F8" w:rsidRPr="0079632A">
        <w:rPr>
          <w:rFonts w:asciiTheme="minorHAnsi" w:hAnsiTheme="minorHAnsi" w:cstheme="minorHAnsi"/>
          <w:sz w:val="20"/>
        </w:rPr>
        <w:t xml:space="preserve">Cortes </w:t>
      </w:r>
      <w:r w:rsidR="002C134D" w:rsidRPr="0079632A">
        <w:rPr>
          <w:rFonts w:asciiTheme="minorHAnsi" w:hAnsiTheme="minorHAnsi" w:cstheme="minorHAnsi"/>
          <w:sz w:val="20"/>
        </w:rPr>
        <w:t xml:space="preserve">de Apelaciones, la Corte Suprema y la Contraloría General de la </w:t>
      </w:r>
      <w:r w:rsidR="002C134D" w:rsidRPr="0079632A">
        <w:rPr>
          <w:rFonts w:asciiTheme="minorHAnsi" w:hAnsiTheme="minorHAnsi" w:cstheme="minorHAnsi"/>
          <w:sz w:val="20"/>
        </w:rPr>
        <w:lastRenderedPageBreak/>
        <w:t xml:space="preserve">Republica estuvieron contestes en que los expedientes administrativos son públicos desde su notificación al deudor, centrándose el debate exclusivamente en </w:t>
      </w:r>
      <w:r w:rsidR="00CB0C42" w:rsidRPr="0079632A">
        <w:rPr>
          <w:rFonts w:asciiTheme="minorHAnsi" w:hAnsiTheme="minorHAnsi" w:cstheme="minorHAnsi"/>
          <w:sz w:val="20"/>
        </w:rPr>
        <w:t xml:space="preserve">la legalidad de la publicación en Dicom de deudas tributarias por parte de la Tesorería. </w:t>
      </w:r>
    </w:p>
    <w:p w:rsidR="00AD1CFE" w:rsidRPr="0079632A" w:rsidRDefault="00AD1CFE" w:rsidP="00FB1808">
      <w:pPr>
        <w:pStyle w:val="Textoindependiente"/>
        <w:spacing w:line="360" w:lineRule="auto"/>
        <w:jc w:val="both"/>
        <w:rPr>
          <w:rFonts w:asciiTheme="minorHAnsi" w:hAnsiTheme="minorHAnsi" w:cstheme="minorHAnsi"/>
          <w:sz w:val="20"/>
        </w:rPr>
      </w:pPr>
    </w:p>
    <w:p w:rsidR="00AD1CFE" w:rsidRDefault="00062468" w:rsidP="00FB1808">
      <w:pPr>
        <w:pStyle w:val="Textoindependiente"/>
        <w:spacing w:line="360" w:lineRule="auto"/>
        <w:jc w:val="both"/>
        <w:rPr>
          <w:rFonts w:asciiTheme="minorHAnsi" w:hAnsiTheme="minorHAnsi" w:cstheme="minorHAnsi"/>
          <w:color w:val="000000" w:themeColor="text1"/>
          <w:sz w:val="20"/>
        </w:rPr>
      </w:pPr>
      <w:r>
        <w:rPr>
          <w:rFonts w:asciiTheme="minorHAnsi" w:hAnsiTheme="minorHAnsi" w:cstheme="minorHAnsi"/>
          <w:sz w:val="20"/>
        </w:rPr>
        <w:t xml:space="preserve">No es menor señalar, que los </w:t>
      </w:r>
      <w:r w:rsidR="00471EA4" w:rsidRPr="0079632A">
        <w:rPr>
          <w:rFonts w:asciiTheme="minorHAnsi" w:hAnsiTheme="minorHAnsi" w:cstheme="minorHAnsi"/>
          <w:sz w:val="20"/>
        </w:rPr>
        <w:t xml:space="preserve">expedientes respecto de los cuales </w:t>
      </w:r>
      <w:r w:rsidR="00AD1CFE">
        <w:rPr>
          <w:rFonts w:asciiTheme="minorHAnsi" w:hAnsiTheme="minorHAnsi" w:cstheme="minorHAnsi"/>
          <w:sz w:val="20"/>
        </w:rPr>
        <w:t>la t</w:t>
      </w:r>
      <w:r w:rsidR="00471EA4" w:rsidRPr="0079632A">
        <w:rPr>
          <w:rFonts w:asciiTheme="minorHAnsi" w:hAnsiTheme="minorHAnsi" w:cstheme="minorHAnsi"/>
          <w:sz w:val="20"/>
        </w:rPr>
        <w:t xml:space="preserve">esorería </w:t>
      </w:r>
      <w:r w:rsidR="00AD1CFE">
        <w:rPr>
          <w:rFonts w:asciiTheme="minorHAnsi" w:hAnsiTheme="minorHAnsi" w:cstheme="minorHAnsi"/>
          <w:sz w:val="20"/>
        </w:rPr>
        <w:t xml:space="preserve">reclama </w:t>
      </w:r>
      <w:r w:rsidR="00471EA4" w:rsidRPr="0079632A">
        <w:rPr>
          <w:rFonts w:asciiTheme="minorHAnsi" w:hAnsiTheme="minorHAnsi" w:cstheme="minorHAnsi"/>
          <w:sz w:val="20"/>
        </w:rPr>
        <w:t xml:space="preserve">secreto son de fácil acceso al </w:t>
      </w:r>
      <w:r w:rsidR="00AD1CFE">
        <w:rPr>
          <w:rFonts w:asciiTheme="minorHAnsi" w:hAnsiTheme="minorHAnsi" w:cstheme="minorHAnsi"/>
          <w:sz w:val="20"/>
        </w:rPr>
        <w:t>ingresar al sistema del poder judicial</w:t>
      </w:r>
      <w:r w:rsidR="00471EA4" w:rsidRPr="0079632A">
        <w:rPr>
          <w:rFonts w:asciiTheme="minorHAnsi" w:hAnsiTheme="minorHAnsi" w:cstheme="minorHAnsi"/>
          <w:sz w:val="20"/>
        </w:rPr>
        <w:t xml:space="preserve">. </w:t>
      </w:r>
    </w:p>
    <w:sectPr w:rsidR="00AD1CFE" w:rsidSect="00DB7899">
      <w:headerReference w:type="default" r:id="rId8"/>
      <w:footerReference w:type="default" r:id="rId9"/>
      <w:pgSz w:w="11907" w:h="16839"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70" w:rsidRDefault="00DE3570">
      <w:r>
        <w:separator/>
      </w:r>
    </w:p>
  </w:endnote>
  <w:endnote w:type="continuationSeparator" w:id="0">
    <w:p w:rsidR="00DE3570" w:rsidRDefault="00DE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554261"/>
      <w:docPartObj>
        <w:docPartGallery w:val="Page Numbers (Bottom of Page)"/>
        <w:docPartUnique/>
      </w:docPartObj>
    </w:sdtPr>
    <w:sdtContent>
      <w:p w:rsidR="0079632A" w:rsidRDefault="0079632A">
        <w:pPr>
          <w:pStyle w:val="Piedepgina"/>
        </w:pPr>
        <w:r>
          <w:fldChar w:fldCharType="begin"/>
        </w:r>
        <w:r>
          <w:instrText>PAGE   \* MERGEFORMAT</w:instrText>
        </w:r>
        <w:r>
          <w:fldChar w:fldCharType="separate"/>
        </w:r>
        <w:r w:rsidR="00062468" w:rsidRPr="00062468">
          <w:rPr>
            <w:noProof/>
            <w:lang w:val="es-ES"/>
          </w:rPr>
          <w:t>9</w:t>
        </w:r>
        <w:r>
          <w:fldChar w:fldCharType="end"/>
        </w:r>
      </w:p>
    </w:sdtContent>
  </w:sdt>
  <w:p w:rsidR="00F356C7" w:rsidRDefault="00F356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70" w:rsidRDefault="00DE3570">
      <w:r>
        <w:separator/>
      </w:r>
    </w:p>
  </w:footnote>
  <w:footnote w:type="continuationSeparator" w:id="0">
    <w:p w:rsidR="00DE3570" w:rsidRDefault="00DE3570">
      <w:r>
        <w:continuationSeparator/>
      </w:r>
    </w:p>
  </w:footnote>
  <w:footnote w:id="1">
    <w:p w:rsidR="00471EA4" w:rsidRPr="0079632A" w:rsidRDefault="00471EA4" w:rsidP="00471EA4">
      <w:pPr>
        <w:pStyle w:val="Textoindependiente"/>
        <w:spacing w:line="360" w:lineRule="auto"/>
        <w:jc w:val="both"/>
        <w:rPr>
          <w:rFonts w:asciiTheme="minorHAnsi" w:hAnsiTheme="minorHAnsi" w:cstheme="minorHAnsi"/>
          <w:color w:val="000000" w:themeColor="text1"/>
          <w:sz w:val="18"/>
          <w:szCs w:val="18"/>
        </w:rPr>
      </w:pPr>
      <w:r w:rsidRPr="0079632A">
        <w:rPr>
          <w:rStyle w:val="Refdenotaalpie"/>
          <w:rFonts w:asciiTheme="minorHAnsi" w:hAnsiTheme="minorHAnsi" w:cstheme="minorHAnsi"/>
          <w:sz w:val="18"/>
          <w:szCs w:val="18"/>
        </w:rPr>
        <w:footnoteRef/>
      </w:r>
      <w:r w:rsidRPr="0079632A">
        <w:rPr>
          <w:rFonts w:asciiTheme="minorHAnsi" w:hAnsiTheme="minorHAnsi" w:cstheme="minorHAnsi"/>
          <w:sz w:val="18"/>
          <w:szCs w:val="18"/>
        </w:rPr>
        <w:t xml:space="preserve"> </w:t>
      </w:r>
      <w:r w:rsidRPr="0079632A">
        <w:rPr>
          <w:rFonts w:asciiTheme="minorHAnsi" w:hAnsiTheme="minorHAnsi" w:cstheme="minorHAnsi"/>
          <w:color w:val="000000" w:themeColor="text1"/>
          <w:sz w:val="18"/>
          <w:szCs w:val="18"/>
        </w:rPr>
        <w:t>Como cuestión accesoria pero estrechamente ligado se puede señalar que para obtener un certificado de deuda de un contribuyente el Servicios de Tesorería impone iguales exigencias. Sin embargo, al momento de solicitar en la misma de Tesorería un AR (aviso recibo), documento que sirve para hacer el pago y que contiene más información que el certificado de deuda, no se exige poder.</w:t>
      </w:r>
    </w:p>
    <w:p w:rsidR="00471EA4" w:rsidRPr="0079632A" w:rsidRDefault="00471EA4">
      <w:pPr>
        <w:pStyle w:val="Textonotapie"/>
        <w:rPr>
          <w:rFonts w:asciiTheme="minorHAnsi" w:hAnsiTheme="minorHAnsi" w:cstheme="minorHAnsi"/>
          <w:sz w:val="18"/>
          <w:szCs w:val="18"/>
          <w:lang w:val="es-CL"/>
        </w:rPr>
      </w:pPr>
    </w:p>
  </w:footnote>
  <w:footnote w:id="2">
    <w:p w:rsidR="00990776" w:rsidRPr="0079632A" w:rsidRDefault="00990776" w:rsidP="001A0C12">
      <w:pPr>
        <w:pStyle w:val="Textonotapie"/>
        <w:jc w:val="both"/>
        <w:rPr>
          <w:rFonts w:asciiTheme="minorHAnsi" w:hAnsiTheme="minorHAnsi" w:cstheme="minorHAnsi"/>
          <w:sz w:val="18"/>
          <w:szCs w:val="18"/>
          <w:lang w:val="es-CL"/>
        </w:rPr>
      </w:pPr>
      <w:r w:rsidRPr="0079632A">
        <w:rPr>
          <w:rStyle w:val="Refdenotaalpie"/>
          <w:rFonts w:asciiTheme="minorHAnsi" w:hAnsiTheme="minorHAnsi" w:cstheme="minorHAnsi"/>
          <w:sz w:val="18"/>
          <w:szCs w:val="18"/>
        </w:rPr>
        <w:footnoteRef/>
      </w:r>
      <w:r w:rsidRPr="0079632A">
        <w:rPr>
          <w:rFonts w:asciiTheme="minorHAnsi" w:hAnsiTheme="minorHAnsi" w:cstheme="minorHAnsi"/>
          <w:sz w:val="18"/>
          <w:szCs w:val="18"/>
        </w:rPr>
        <w:t xml:space="preserve"> </w:t>
      </w:r>
      <w:r w:rsidRPr="0079632A">
        <w:rPr>
          <w:rFonts w:asciiTheme="minorHAnsi" w:hAnsiTheme="minorHAnsi" w:cstheme="minorHAnsi"/>
          <w:color w:val="000000" w:themeColor="text1"/>
          <w:sz w:val="18"/>
          <w:szCs w:val="18"/>
        </w:rPr>
        <w:t xml:space="preserve">Rol N° 5002-2013. Pronunciado por la Tercera Sala de esta Corte Suprema, Redacción a cargo del </w:t>
      </w:r>
      <w:r w:rsidR="00471EA4" w:rsidRPr="0079632A">
        <w:rPr>
          <w:rFonts w:asciiTheme="minorHAnsi" w:hAnsiTheme="minorHAnsi" w:cstheme="minorHAnsi"/>
          <w:color w:val="000000" w:themeColor="text1"/>
          <w:sz w:val="18"/>
          <w:szCs w:val="18"/>
        </w:rPr>
        <w:t>ministro</w:t>
      </w:r>
      <w:r w:rsidRPr="0079632A">
        <w:rPr>
          <w:rFonts w:asciiTheme="minorHAnsi" w:hAnsiTheme="minorHAnsi" w:cstheme="minorHAnsi"/>
          <w:color w:val="000000" w:themeColor="text1"/>
          <w:sz w:val="18"/>
          <w:szCs w:val="18"/>
        </w:rPr>
        <w:t xml:space="preserve"> Sr. Pierry. Ministros Sr. Sergio Muñoz G., Sr. Pedro Pierry A., Sra. María Eugenia Sandoval G., el Ministro Suplente Sr. Carlos Cerda F. y el Abogado </w:t>
      </w:r>
      <w:r w:rsidR="001A0C12" w:rsidRPr="0079632A">
        <w:rPr>
          <w:rFonts w:asciiTheme="minorHAnsi" w:hAnsiTheme="minorHAnsi" w:cstheme="minorHAnsi"/>
          <w:color w:val="000000" w:themeColor="text1"/>
          <w:sz w:val="18"/>
          <w:szCs w:val="18"/>
        </w:rPr>
        <w:t>Integrante Sr. Jorge Baraona G</w:t>
      </w:r>
    </w:p>
  </w:footnote>
  <w:footnote w:id="3">
    <w:p w:rsidR="00990776" w:rsidRPr="0079632A" w:rsidRDefault="00990776" w:rsidP="001A0C12">
      <w:pPr>
        <w:pStyle w:val="NormalWeb"/>
        <w:shd w:val="clear" w:color="auto" w:fill="FFFFFF"/>
        <w:jc w:val="both"/>
        <w:rPr>
          <w:rFonts w:asciiTheme="minorHAnsi" w:hAnsiTheme="minorHAnsi" w:cstheme="minorHAnsi"/>
          <w:color w:val="000000"/>
          <w:sz w:val="18"/>
          <w:szCs w:val="18"/>
        </w:rPr>
      </w:pPr>
      <w:r w:rsidRPr="0079632A">
        <w:rPr>
          <w:rStyle w:val="Refdenotaalpie"/>
          <w:rFonts w:asciiTheme="minorHAnsi" w:hAnsiTheme="minorHAnsi" w:cstheme="minorHAnsi"/>
          <w:sz w:val="18"/>
          <w:szCs w:val="18"/>
        </w:rPr>
        <w:footnoteRef/>
      </w:r>
      <w:r w:rsidR="001A0C12" w:rsidRPr="0079632A">
        <w:rPr>
          <w:rFonts w:asciiTheme="minorHAnsi" w:hAnsiTheme="minorHAnsi" w:cstheme="minorHAnsi"/>
          <w:sz w:val="18"/>
          <w:szCs w:val="18"/>
        </w:rPr>
        <w:t xml:space="preserve"> C</w:t>
      </w:r>
      <w:r w:rsidR="001A0C12" w:rsidRPr="0079632A">
        <w:rPr>
          <w:rFonts w:asciiTheme="minorHAnsi" w:hAnsiTheme="minorHAnsi" w:cstheme="minorHAnsi"/>
          <w:bCs/>
          <w:color w:val="000000"/>
          <w:sz w:val="18"/>
          <w:szCs w:val="18"/>
        </w:rPr>
        <w:t>ircular n° 43 del 24 de julio de 1998 del Servicio de Impuestos Internos que “imparte instrucciones acerca de la entrega de información relativa a los contribuyentes que soliciten los tribunales de justicia y otros organismos”</w:t>
      </w:r>
    </w:p>
    <w:p w:rsidR="00990776" w:rsidRPr="0079632A" w:rsidRDefault="00990776">
      <w:pPr>
        <w:pStyle w:val="Textonotapie"/>
        <w:rPr>
          <w:rFonts w:asciiTheme="minorHAnsi" w:hAnsiTheme="minorHAnsi" w:cstheme="minorHAnsi"/>
          <w:sz w:val="18"/>
          <w:szCs w:val="18"/>
          <w:lang w:val="es-CL"/>
        </w:rPr>
      </w:pPr>
    </w:p>
  </w:footnote>
  <w:footnote w:id="4">
    <w:p w:rsidR="00990776" w:rsidRPr="0079632A" w:rsidRDefault="00990776" w:rsidP="001A0C12">
      <w:pPr>
        <w:pStyle w:val="Textonotapie"/>
        <w:jc w:val="both"/>
        <w:rPr>
          <w:rFonts w:asciiTheme="minorHAnsi" w:hAnsiTheme="minorHAnsi" w:cstheme="minorHAnsi"/>
          <w:sz w:val="18"/>
          <w:szCs w:val="18"/>
          <w:lang w:val="es-CL"/>
        </w:rPr>
      </w:pPr>
      <w:r w:rsidRPr="0079632A">
        <w:rPr>
          <w:rStyle w:val="Refdenotaalpie"/>
          <w:rFonts w:asciiTheme="minorHAnsi" w:hAnsiTheme="minorHAnsi" w:cstheme="minorHAnsi"/>
          <w:sz w:val="18"/>
          <w:szCs w:val="18"/>
        </w:rPr>
        <w:footnoteRef/>
      </w:r>
      <w:r w:rsidRPr="0079632A">
        <w:rPr>
          <w:rFonts w:asciiTheme="minorHAnsi" w:hAnsiTheme="minorHAnsi" w:cstheme="minorHAnsi"/>
          <w:sz w:val="18"/>
          <w:szCs w:val="18"/>
        </w:rPr>
        <w:t xml:space="preserve"> </w:t>
      </w:r>
      <w:r w:rsidR="002655D7" w:rsidRPr="0079632A">
        <w:rPr>
          <w:rStyle w:val="Refdenotaalpie"/>
          <w:rFonts w:asciiTheme="minorHAnsi" w:hAnsiTheme="minorHAnsi" w:cstheme="minorHAnsi"/>
          <w:sz w:val="18"/>
          <w:szCs w:val="18"/>
        </w:rPr>
        <w:footnoteRef/>
      </w:r>
      <w:r w:rsidR="002655D7" w:rsidRPr="0079632A">
        <w:rPr>
          <w:rFonts w:asciiTheme="minorHAnsi" w:hAnsiTheme="minorHAnsi" w:cstheme="minorHAnsi"/>
          <w:sz w:val="18"/>
          <w:szCs w:val="18"/>
        </w:rPr>
        <w:t xml:space="preserve"> O</w:t>
      </w:r>
      <w:r w:rsidR="002655D7" w:rsidRPr="0079632A">
        <w:rPr>
          <w:rFonts w:asciiTheme="minorHAnsi" w:hAnsiTheme="minorHAnsi" w:cstheme="minorHAnsi"/>
          <w:color w:val="000000" w:themeColor="text1"/>
          <w:sz w:val="18"/>
          <w:szCs w:val="18"/>
        </w:rPr>
        <w:t>ficio ordinario N° 481, de 24 de febrero de 2012 del Servicio de Impuestos Internos.</w:t>
      </w:r>
    </w:p>
  </w:footnote>
  <w:footnote w:id="5">
    <w:p w:rsidR="00990776" w:rsidRPr="0079632A" w:rsidRDefault="00990776" w:rsidP="008948EF">
      <w:pPr>
        <w:pStyle w:val="Textonotapie"/>
        <w:jc w:val="both"/>
        <w:rPr>
          <w:rFonts w:asciiTheme="minorHAnsi" w:hAnsiTheme="minorHAnsi" w:cstheme="minorHAnsi"/>
          <w:color w:val="000000" w:themeColor="text1"/>
          <w:sz w:val="18"/>
          <w:szCs w:val="18"/>
          <w:lang w:val="es-CL"/>
        </w:rPr>
      </w:pPr>
      <w:r w:rsidRPr="0079632A">
        <w:rPr>
          <w:rStyle w:val="Refdenotaalpie"/>
          <w:rFonts w:asciiTheme="minorHAnsi" w:hAnsiTheme="minorHAnsi" w:cstheme="minorHAnsi"/>
          <w:color w:val="000000" w:themeColor="text1"/>
          <w:sz w:val="18"/>
          <w:szCs w:val="18"/>
        </w:rPr>
        <w:footnoteRef/>
      </w:r>
      <w:r w:rsidRPr="0079632A">
        <w:rPr>
          <w:rFonts w:asciiTheme="minorHAnsi" w:hAnsiTheme="minorHAnsi" w:cstheme="minorHAnsi"/>
          <w:color w:val="000000" w:themeColor="text1"/>
          <w:sz w:val="18"/>
          <w:szCs w:val="18"/>
        </w:rPr>
        <w:t xml:space="preserve"> Referencias del texto “Publicación de deudas tributarias y protección de datos sensibles: ¿Una involución jurisprudencial? Estudios Constitucionales, Año 5 N° 1, ISSN 0718-0195, Universidad de Talca, 2007 Publicación de deudas tributarias y protección de datos sensibles: ¿Una involución jurisprudencial? Domingo Hernández E.; página 579</w:t>
      </w:r>
    </w:p>
  </w:footnote>
  <w:footnote w:id="6">
    <w:p w:rsidR="00990776" w:rsidRPr="0079632A" w:rsidRDefault="00990776" w:rsidP="008948EF">
      <w:pPr>
        <w:pStyle w:val="Textoindependiente"/>
        <w:spacing w:line="240" w:lineRule="auto"/>
        <w:ind w:firstLine="0"/>
        <w:jc w:val="both"/>
        <w:rPr>
          <w:rFonts w:asciiTheme="minorHAnsi" w:hAnsiTheme="minorHAnsi" w:cstheme="minorHAnsi"/>
          <w:color w:val="000000" w:themeColor="text1"/>
          <w:sz w:val="18"/>
          <w:szCs w:val="18"/>
        </w:rPr>
      </w:pPr>
      <w:r w:rsidRPr="0079632A">
        <w:rPr>
          <w:rStyle w:val="Refdenotaalpie"/>
          <w:rFonts w:asciiTheme="minorHAnsi" w:hAnsiTheme="minorHAnsi" w:cstheme="minorHAnsi"/>
          <w:color w:val="000000" w:themeColor="text1"/>
          <w:sz w:val="18"/>
          <w:szCs w:val="18"/>
        </w:rPr>
        <w:footnoteRef/>
      </w:r>
      <w:r w:rsidRPr="0079632A">
        <w:rPr>
          <w:rFonts w:asciiTheme="minorHAnsi" w:hAnsiTheme="minorHAnsi" w:cstheme="minorHAnsi"/>
          <w:color w:val="000000" w:themeColor="text1"/>
          <w:sz w:val="18"/>
          <w:szCs w:val="18"/>
        </w:rPr>
        <w:t xml:space="preserve">  “Inmobiliaria Edificio Los Conquistadores Limitada con Director Regional Tesorero de la VIII Región”, C.A.C., Rol N° 932/-2003, 17.07.2003, conf. S.C.S., Rol N° 1889-03, 22.07.2003, </w:t>
      </w:r>
    </w:p>
    <w:p w:rsidR="00990776" w:rsidRPr="0079632A" w:rsidRDefault="00990776">
      <w:pPr>
        <w:pStyle w:val="Textonotapie"/>
        <w:rPr>
          <w:rFonts w:asciiTheme="minorHAnsi" w:hAnsiTheme="minorHAnsi" w:cstheme="minorHAnsi"/>
          <w:sz w:val="18"/>
          <w:szCs w:val="18"/>
          <w:lang w:val="es-CL"/>
        </w:rPr>
      </w:pPr>
    </w:p>
  </w:footnote>
  <w:footnote w:id="7">
    <w:p w:rsidR="00990776" w:rsidRPr="0079632A" w:rsidRDefault="00990776" w:rsidP="00990776">
      <w:pPr>
        <w:pStyle w:val="Textoindependiente"/>
        <w:ind w:firstLine="0"/>
        <w:jc w:val="both"/>
        <w:rPr>
          <w:rFonts w:asciiTheme="minorHAnsi" w:hAnsiTheme="minorHAnsi" w:cstheme="minorHAnsi"/>
          <w:color w:val="000000" w:themeColor="text1"/>
          <w:sz w:val="18"/>
          <w:szCs w:val="18"/>
        </w:rPr>
      </w:pPr>
      <w:r w:rsidRPr="0079632A">
        <w:rPr>
          <w:rStyle w:val="Refdenotaalpie"/>
          <w:rFonts w:asciiTheme="minorHAnsi" w:hAnsiTheme="minorHAnsi" w:cstheme="minorHAnsi"/>
          <w:color w:val="000000" w:themeColor="text1"/>
          <w:sz w:val="18"/>
          <w:szCs w:val="18"/>
        </w:rPr>
        <w:footnoteRef/>
      </w:r>
      <w:r w:rsidRPr="0079632A">
        <w:rPr>
          <w:rFonts w:asciiTheme="minorHAnsi" w:hAnsiTheme="minorHAnsi" w:cstheme="minorHAnsi"/>
          <w:color w:val="000000" w:themeColor="text1"/>
          <w:sz w:val="18"/>
          <w:szCs w:val="18"/>
        </w:rPr>
        <w:t xml:space="preserve"> </w:t>
      </w:r>
      <w:r w:rsidR="008948EF" w:rsidRPr="0079632A">
        <w:rPr>
          <w:rFonts w:asciiTheme="minorHAnsi" w:hAnsiTheme="minorHAnsi" w:cstheme="minorHAnsi"/>
          <w:color w:val="000000" w:themeColor="text1"/>
          <w:sz w:val="18"/>
          <w:szCs w:val="18"/>
        </w:rPr>
        <w:t>Considerando 5 caratulada Koch, Boris con Tesorería General de la República”, rol N° 500-2007, sentencia de fecha 20.03.2007</w:t>
      </w:r>
      <w:r w:rsidRPr="0079632A">
        <w:rPr>
          <w:rFonts w:asciiTheme="minorHAnsi" w:hAnsiTheme="minorHAnsi" w:cstheme="minorHAnsi"/>
          <w:color w:val="000000" w:themeColor="text1"/>
          <w:sz w:val="18"/>
          <w:szCs w:val="18"/>
        </w:rPr>
        <w:t>. C</w:t>
      </w:r>
      <w:r w:rsidR="008948EF" w:rsidRPr="0079632A">
        <w:rPr>
          <w:rFonts w:asciiTheme="minorHAnsi" w:hAnsiTheme="minorHAnsi" w:cstheme="minorHAnsi"/>
          <w:color w:val="000000" w:themeColor="text1"/>
          <w:sz w:val="18"/>
          <w:szCs w:val="18"/>
        </w:rPr>
        <w:t>orte Suprema.</w:t>
      </w:r>
    </w:p>
    <w:p w:rsidR="00990776" w:rsidRPr="0079632A" w:rsidRDefault="00990776">
      <w:pPr>
        <w:pStyle w:val="Textonotapie"/>
        <w:rPr>
          <w:rFonts w:asciiTheme="minorHAnsi" w:hAnsiTheme="minorHAnsi" w:cstheme="minorHAnsi"/>
          <w:sz w:val="18"/>
          <w:szCs w:val="18"/>
        </w:rPr>
      </w:pPr>
    </w:p>
  </w:footnote>
  <w:footnote w:id="8">
    <w:p w:rsidR="00990776" w:rsidRPr="0079632A" w:rsidRDefault="00990776" w:rsidP="008948EF">
      <w:pPr>
        <w:pStyle w:val="Textonotapie"/>
        <w:jc w:val="both"/>
        <w:rPr>
          <w:rFonts w:asciiTheme="minorHAnsi" w:hAnsiTheme="minorHAnsi" w:cstheme="minorHAnsi"/>
          <w:sz w:val="18"/>
          <w:szCs w:val="18"/>
          <w:lang w:val="es-CL"/>
        </w:rPr>
      </w:pPr>
      <w:r w:rsidRPr="0079632A">
        <w:rPr>
          <w:rStyle w:val="Refdenotaalpie"/>
          <w:rFonts w:asciiTheme="minorHAnsi" w:hAnsiTheme="minorHAnsi" w:cstheme="minorHAnsi"/>
          <w:sz w:val="18"/>
          <w:szCs w:val="18"/>
        </w:rPr>
        <w:footnoteRef/>
      </w:r>
      <w:r w:rsidRPr="0079632A">
        <w:rPr>
          <w:rFonts w:asciiTheme="minorHAnsi" w:hAnsiTheme="minorHAnsi" w:cstheme="minorHAnsi"/>
          <w:sz w:val="18"/>
          <w:szCs w:val="18"/>
        </w:rPr>
        <w:t xml:space="preserve"> </w:t>
      </w:r>
      <w:r w:rsidR="008948EF" w:rsidRPr="0079632A">
        <w:rPr>
          <w:rFonts w:asciiTheme="minorHAnsi" w:hAnsiTheme="minorHAnsi" w:cstheme="minorHAnsi"/>
          <w:sz w:val="18"/>
          <w:szCs w:val="18"/>
        </w:rPr>
        <w:t>R</w:t>
      </w:r>
      <w:r w:rsidRPr="0079632A">
        <w:rPr>
          <w:rFonts w:asciiTheme="minorHAnsi" w:hAnsiTheme="minorHAnsi" w:cstheme="minorHAnsi"/>
          <w:color w:val="000000" w:themeColor="text1"/>
          <w:sz w:val="18"/>
          <w:szCs w:val="18"/>
        </w:rPr>
        <w:t xml:space="preserve">esolución </w:t>
      </w:r>
      <w:r w:rsidR="008948EF" w:rsidRPr="0079632A">
        <w:rPr>
          <w:rFonts w:asciiTheme="minorHAnsi" w:hAnsiTheme="minorHAnsi" w:cstheme="minorHAnsi"/>
          <w:color w:val="000000" w:themeColor="text1"/>
          <w:sz w:val="18"/>
          <w:szCs w:val="18"/>
        </w:rPr>
        <w:t>E</w:t>
      </w:r>
      <w:r w:rsidRPr="0079632A">
        <w:rPr>
          <w:rFonts w:asciiTheme="minorHAnsi" w:hAnsiTheme="minorHAnsi" w:cstheme="minorHAnsi"/>
          <w:color w:val="000000" w:themeColor="text1"/>
          <w:sz w:val="18"/>
          <w:szCs w:val="18"/>
        </w:rPr>
        <w:t xml:space="preserve">xenta 2475 del </w:t>
      </w:r>
      <w:r w:rsidR="008948EF" w:rsidRPr="0079632A">
        <w:rPr>
          <w:rFonts w:asciiTheme="minorHAnsi" w:hAnsiTheme="minorHAnsi" w:cstheme="minorHAnsi"/>
          <w:color w:val="000000" w:themeColor="text1"/>
          <w:sz w:val="18"/>
          <w:szCs w:val="18"/>
        </w:rPr>
        <w:t>S</w:t>
      </w:r>
      <w:r w:rsidRPr="0079632A">
        <w:rPr>
          <w:rFonts w:asciiTheme="minorHAnsi" w:hAnsiTheme="minorHAnsi" w:cstheme="minorHAnsi"/>
          <w:color w:val="000000" w:themeColor="text1"/>
          <w:sz w:val="18"/>
          <w:szCs w:val="18"/>
        </w:rPr>
        <w:t>ervicio de Tesorería de 2 de septiembre del año 2002</w:t>
      </w:r>
    </w:p>
  </w:footnote>
  <w:footnote w:id="9">
    <w:p w:rsidR="00990776" w:rsidRPr="0079632A" w:rsidRDefault="00990776" w:rsidP="008948EF">
      <w:pPr>
        <w:pStyle w:val="Textonotapie"/>
        <w:jc w:val="both"/>
        <w:rPr>
          <w:rFonts w:asciiTheme="minorHAnsi" w:hAnsiTheme="minorHAnsi" w:cstheme="minorHAnsi"/>
          <w:color w:val="000000" w:themeColor="text1"/>
          <w:sz w:val="18"/>
          <w:szCs w:val="18"/>
          <w:lang w:val="es-CL"/>
        </w:rPr>
      </w:pPr>
      <w:r w:rsidRPr="0079632A">
        <w:rPr>
          <w:rStyle w:val="Refdenotaalpie"/>
          <w:rFonts w:asciiTheme="minorHAnsi" w:hAnsiTheme="minorHAnsi" w:cstheme="minorHAnsi"/>
          <w:color w:val="000000" w:themeColor="text1"/>
          <w:sz w:val="18"/>
          <w:szCs w:val="18"/>
        </w:rPr>
        <w:footnoteRef/>
      </w:r>
      <w:r w:rsidR="008948EF" w:rsidRPr="0079632A">
        <w:rPr>
          <w:rFonts w:asciiTheme="minorHAnsi" w:hAnsiTheme="minorHAnsi" w:cstheme="minorHAnsi"/>
          <w:color w:val="000000" w:themeColor="text1"/>
          <w:sz w:val="18"/>
          <w:szCs w:val="18"/>
        </w:rPr>
        <w:t xml:space="preserve"> Dictamen n° 10322 de </w:t>
      </w:r>
      <w:r w:rsidR="00471EA4" w:rsidRPr="0079632A">
        <w:rPr>
          <w:rFonts w:asciiTheme="minorHAnsi" w:hAnsiTheme="minorHAnsi" w:cstheme="minorHAnsi"/>
          <w:color w:val="000000" w:themeColor="text1"/>
          <w:sz w:val="18"/>
          <w:szCs w:val="18"/>
        </w:rPr>
        <w:t>fecha 21</w:t>
      </w:r>
      <w:r w:rsidR="008948EF" w:rsidRPr="0079632A">
        <w:rPr>
          <w:rFonts w:asciiTheme="minorHAnsi" w:hAnsiTheme="minorHAnsi" w:cstheme="minorHAnsi"/>
          <w:color w:val="000000" w:themeColor="text1"/>
          <w:sz w:val="18"/>
          <w:szCs w:val="18"/>
        </w:rPr>
        <w:t xml:space="preserve"> de 3 de 2001, la contraloría general de la república. </w:t>
      </w:r>
      <w:hyperlink r:id="rId1" w:history="1">
        <w:r w:rsidR="008948EF" w:rsidRPr="0079632A">
          <w:rPr>
            <w:rStyle w:val="Hipervnculo"/>
            <w:rFonts w:asciiTheme="minorHAnsi" w:hAnsiTheme="minorHAnsi" w:cstheme="minorHAnsi"/>
            <w:color w:val="000000" w:themeColor="text1"/>
            <w:sz w:val="18"/>
            <w:szCs w:val="18"/>
            <w:u w:val="none"/>
            <w:lang w:val="es-CL"/>
          </w:rPr>
          <w:t>http://www.contraloria.cl/legisjuri/dictamenesgeneralesmunicipales.nsf/framesetconsultawebanonima?openframeset</w:t>
        </w:r>
      </w:hyperlink>
    </w:p>
    <w:p w:rsidR="008948EF" w:rsidRPr="0079632A" w:rsidRDefault="008948EF" w:rsidP="008948EF">
      <w:pPr>
        <w:pStyle w:val="Textonotapie"/>
        <w:jc w:val="both"/>
        <w:rPr>
          <w:rFonts w:asciiTheme="minorHAnsi" w:hAnsiTheme="minorHAnsi" w:cstheme="minorHAnsi"/>
          <w:color w:val="000000" w:themeColor="text1"/>
          <w:sz w:val="18"/>
          <w:szCs w:val="18"/>
          <w:lang w:val="es-CL"/>
        </w:rPr>
      </w:pPr>
    </w:p>
  </w:footnote>
  <w:footnote w:id="10">
    <w:p w:rsidR="00990776" w:rsidRPr="0079632A" w:rsidRDefault="00990776" w:rsidP="008948EF">
      <w:pPr>
        <w:pStyle w:val="Textonotapie"/>
        <w:jc w:val="both"/>
        <w:rPr>
          <w:rFonts w:asciiTheme="minorHAnsi" w:hAnsiTheme="minorHAnsi" w:cstheme="minorHAnsi"/>
          <w:sz w:val="18"/>
          <w:szCs w:val="18"/>
          <w:lang w:val="es-CL"/>
        </w:rPr>
      </w:pPr>
      <w:r w:rsidRPr="0079632A">
        <w:rPr>
          <w:rStyle w:val="Refdenotaalpie"/>
          <w:rFonts w:asciiTheme="minorHAnsi" w:hAnsiTheme="minorHAnsi" w:cstheme="minorHAnsi"/>
          <w:color w:val="000000" w:themeColor="text1"/>
          <w:sz w:val="18"/>
          <w:szCs w:val="18"/>
        </w:rPr>
        <w:footnoteRef/>
      </w:r>
      <w:r w:rsidR="008948EF" w:rsidRPr="0079632A">
        <w:rPr>
          <w:rFonts w:asciiTheme="minorHAnsi" w:hAnsiTheme="minorHAnsi" w:cstheme="minorHAnsi"/>
          <w:color w:val="000000" w:themeColor="text1"/>
          <w:sz w:val="18"/>
          <w:szCs w:val="18"/>
          <w:lang w:val="es-CL"/>
        </w:rPr>
        <w:t xml:space="preserve"> </w:t>
      </w:r>
      <w:r w:rsidR="00471EA4" w:rsidRPr="0079632A">
        <w:rPr>
          <w:rFonts w:asciiTheme="minorHAnsi" w:hAnsiTheme="minorHAnsi" w:cstheme="minorHAnsi"/>
          <w:color w:val="000000" w:themeColor="text1"/>
          <w:sz w:val="18"/>
          <w:szCs w:val="18"/>
          <w:lang w:val="es-CL"/>
        </w:rPr>
        <w:t>ídem</w:t>
      </w:r>
    </w:p>
  </w:footnote>
  <w:footnote w:id="11">
    <w:p w:rsidR="00990776" w:rsidRPr="0079632A" w:rsidRDefault="00990776">
      <w:pPr>
        <w:pStyle w:val="Textonotapie"/>
        <w:rPr>
          <w:rFonts w:asciiTheme="minorHAnsi" w:hAnsiTheme="minorHAnsi" w:cstheme="minorHAnsi"/>
          <w:color w:val="000000" w:themeColor="text1"/>
          <w:sz w:val="18"/>
          <w:szCs w:val="18"/>
          <w:lang w:eastAsia="es-CL"/>
        </w:rPr>
      </w:pPr>
      <w:r w:rsidRPr="0079632A">
        <w:rPr>
          <w:rStyle w:val="Refdenotaalpie"/>
          <w:rFonts w:asciiTheme="minorHAnsi" w:hAnsiTheme="minorHAnsi" w:cstheme="minorHAnsi"/>
          <w:color w:val="000000" w:themeColor="text1"/>
          <w:sz w:val="18"/>
          <w:szCs w:val="18"/>
        </w:rPr>
        <w:footnoteRef/>
      </w:r>
      <w:r w:rsidR="008948EF" w:rsidRPr="0079632A">
        <w:rPr>
          <w:rFonts w:asciiTheme="minorHAnsi" w:hAnsiTheme="minorHAnsi" w:cstheme="minorHAnsi"/>
          <w:color w:val="000000" w:themeColor="text1"/>
          <w:sz w:val="18"/>
          <w:szCs w:val="18"/>
        </w:rPr>
        <w:t xml:space="preserve"> dictamen </w:t>
      </w:r>
      <w:r w:rsidR="008948EF" w:rsidRPr="0079632A">
        <w:rPr>
          <w:rFonts w:asciiTheme="minorHAnsi" w:hAnsiTheme="minorHAnsi" w:cstheme="minorHAnsi"/>
          <w:b/>
          <w:color w:val="000000" w:themeColor="text1"/>
          <w:sz w:val="18"/>
          <w:szCs w:val="18"/>
        </w:rPr>
        <w:t>25336 de fecha 8 de julio del año 2002 de la C</w:t>
      </w:r>
      <w:r w:rsidR="008948EF" w:rsidRPr="0079632A">
        <w:rPr>
          <w:rFonts w:asciiTheme="minorHAnsi" w:hAnsiTheme="minorHAnsi" w:cstheme="minorHAnsi"/>
          <w:color w:val="000000" w:themeColor="text1"/>
          <w:sz w:val="18"/>
          <w:szCs w:val="18"/>
          <w:lang w:eastAsia="es-CL"/>
        </w:rPr>
        <w:t xml:space="preserve">ontraloría General de la República, </w:t>
      </w:r>
      <w:hyperlink r:id="rId2" w:history="1">
        <w:r w:rsidR="008948EF" w:rsidRPr="0079632A">
          <w:rPr>
            <w:rStyle w:val="Hipervnculo"/>
            <w:rFonts w:asciiTheme="minorHAnsi" w:hAnsiTheme="minorHAnsi" w:cstheme="minorHAnsi"/>
            <w:color w:val="000000" w:themeColor="text1"/>
            <w:sz w:val="18"/>
            <w:szCs w:val="18"/>
            <w:u w:val="none"/>
            <w:lang w:eastAsia="es-CL"/>
          </w:rPr>
          <w:t>http://www.contraloria.cl/legisjuri/dictamenesgeneralesmunicipales.nsf/framesetconsultawebanonima?openframeset</w:t>
        </w:r>
      </w:hyperlink>
      <w:r w:rsidR="008948EF" w:rsidRPr="0079632A">
        <w:rPr>
          <w:rFonts w:asciiTheme="minorHAnsi" w:hAnsiTheme="minorHAnsi" w:cstheme="minorHAnsi"/>
          <w:color w:val="000000" w:themeColor="text1"/>
          <w:sz w:val="18"/>
          <w:szCs w:val="18"/>
          <w:lang w:eastAsia="es-CL"/>
        </w:rPr>
        <w:t>.</w:t>
      </w:r>
    </w:p>
    <w:p w:rsidR="008948EF" w:rsidRPr="0079632A" w:rsidRDefault="008948EF">
      <w:pPr>
        <w:pStyle w:val="Textonotapie"/>
        <w:rPr>
          <w:rFonts w:asciiTheme="minorHAnsi" w:hAnsiTheme="minorHAnsi" w:cstheme="minorHAnsi"/>
          <w:color w:val="000000" w:themeColor="text1"/>
          <w:sz w:val="18"/>
          <w:szCs w:val="18"/>
          <w:lang w:eastAsia="es-CL"/>
        </w:rPr>
      </w:pPr>
    </w:p>
  </w:footnote>
  <w:footnote w:id="12">
    <w:p w:rsidR="008948EF" w:rsidRPr="0079632A" w:rsidRDefault="00A556A8" w:rsidP="008948EF">
      <w:pPr>
        <w:pStyle w:val="Textonotapie"/>
        <w:jc w:val="both"/>
        <w:rPr>
          <w:rFonts w:asciiTheme="minorHAnsi" w:hAnsiTheme="minorHAnsi" w:cstheme="minorHAnsi"/>
          <w:color w:val="000000" w:themeColor="text1"/>
          <w:sz w:val="18"/>
          <w:szCs w:val="18"/>
        </w:rPr>
      </w:pPr>
      <w:r w:rsidRPr="0079632A">
        <w:rPr>
          <w:rStyle w:val="Refdenotaalpie"/>
          <w:rFonts w:asciiTheme="minorHAnsi" w:hAnsiTheme="minorHAnsi" w:cstheme="minorHAnsi"/>
          <w:sz w:val="18"/>
          <w:szCs w:val="18"/>
        </w:rPr>
        <w:footnoteRef/>
      </w:r>
      <w:r w:rsidR="008948EF" w:rsidRPr="0079632A">
        <w:rPr>
          <w:rFonts w:asciiTheme="minorHAnsi" w:hAnsiTheme="minorHAnsi" w:cstheme="minorHAnsi"/>
          <w:sz w:val="18"/>
          <w:szCs w:val="18"/>
        </w:rPr>
        <w:t xml:space="preserve"> D</w:t>
      </w:r>
      <w:r w:rsidR="008948EF" w:rsidRPr="0079632A">
        <w:rPr>
          <w:rFonts w:asciiTheme="minorHAnsi" w:hAnsiTheme="minorHAnsi" w:cstheme="minorHAnsi"/>
          <w:color w:val="000000" w:themeColor="text1"/>
          <w:sz w:val="18"/>
          <w:szCs w:val="18"/>
        </w:rPr>
        <w:t xml:space="preserve">ictamen n° 43866 de fecha 3 de octubre del año 2003, de la Contraloría General de la Republica.  </w:t>
      </w:r>
    </w:p>
    <w:p w:rsidR="00A556A8" w:rsidRPr="0079632A" w:rsidRDefault="008948EF" w:rsidP="008948EF">
      <w:pPr>
        <w:pStyle w:val="Textonotapie"/>
        <w:jc w:val="both"/>
        <w:rPr>
          <w:rFonts w:asciiTheme="minorHAnsi" w:hAnsiTheme="minorHAnsi" w:cstheme="minorHAnsi"/>
          <w:sz w:val="18"/>
          <w:szCs w:val="18"/>
          <w:lang w:val="es-CL"/>
        </w:rPr>
      </w:pPr>
      <w:r w:rsidRPr="0079632A">
        <w:rPr>
          <w:rFonts w:asciiTheme="minorHAnsi" w:hAnsiTheme="minorHAnsi" w:cstheme="minorHAnsi"/>
          <w:color w:val="000000" w:themeColor="text1"/>
          <w:sz w:val="18"/>
          <w:szCs w:val="18"/>
        </w:rPr>
        <w:t>http://www.contraloria.cl/legisjuri/dictamenesgeneralesmunicipales.nsf/framesetconsultawebanonima?openframeset</w:t>
      </w:r>
    </w:p>
  </w:footnote>
  <w:footnote w:id="13">
    <w:p w:rsidR="001A0C12" w:rsidRPr="00A556A8" w:rsidRDefault="001A0C12" w:rsidP="008948EF">
      <w:pPr>
        <w:pStyle w:val="Textonotapie"/>
        <w:jc w:val="both"/>
        <w:rPr>
          <w:lang w:val="es-CL"/>
        </w:rPr>
      </w:pPr>
      <w:r w:rsidRPr="008948EF">
        <w:rPr>
          <w:rStyle w:val="Refdenotaalpie"/>
          <w:rFonts w:ascii="Times New Roman" w:hAnsi="Times New Roman"/>
          <w:sz w:val="16"/>
          <w:szCs w:val="16"/>
        </w:rPr>
        <w:footnoteRef/>
      </w:r>
      <w:r w:rsidR="008948EF" w:rsidRPr="008948EF">
        <w:rPr>
          <w:rFonts w:ascii="Times New Roman" w:hAnsi="Times New Roman"/>
          <w:sz w:val="16"/>
          <w:szCs w:val="16"/>
        </w:rPr>
        <w:t xml:space="preserve"> </w:t>
      </w:r>
      <w:r w:rsidR="008948EF" w:rsidRPr="008948EF">
        <w:rPr>
          <w:rFonts w:ascii="Times New Roman" w:hAnsi="Times New Roman"/>
          <w:color w:val="000000"/>
          <w:sz w:val="16"/>
          <w:szCs w:val="16"/>
          <w:lang w:eastAsia="es-CL"/>
        </w:rPr>
        <w:t xml:space="preserve">sentencia en causa rol 918–2006; nº 919-2006 y 1141 año 2006 dictada con fecha 1 de septiembre de 2006 por la </w:t>
      </w:r>
      <w:r w:rsidR="008948EF">
        <w:rPr>
          <w:rFonts w:ascii="Times New Roman" w:hAnsi="Times New Roman"/>
          <w:color w:val="000000"/>
          <w:sz w:val="16"/>
          <w:szCs w:val="16"/>
          <w:lang w:eastAsia="es-CL"/>
        </w:rPr>
        <w:t>I</w:t>
      </w:r>
      <w:r w:rsidR="008948EF" w:rsidRPr="008948EF">
        <w:rPr>
          <w:rFonts w:ascii="Times New Roman" w:hAnsi="Times New Roman"/>
          <w:color w:val="000000"/>
          <w:sz w:val="16"/>
          <w:szCs w:val="16"/>
          <w:lang w:eastAsia="es-CL"/>
        </w:rPr>
        <w:t xml:space="preserve">lustre </w:t>
      </w:r>
      <w:r w:rsidR="008948EF">
        <w:rPr>
          <w:rFonts w:ascii="Times New Roman" w:hAnsi="Times New Roman"/>
          <w:color w:val="000000"/>
          <w:sz w:val="16"/>
          <w:szCs w:val="16"/>
          <w:lang w:eastAsia="es-CL"/>
        </w:rPr>
        <w:t>C</w:t>
      </w:r>
      <w:r w:rsidR="008948EF" w:rsidRPr="008948EF">
        <w:rPr>
          <w:rFonts w:ascii="Times New Roman" w:hAnsi="Times New Roman"/>
          <w:color w:val="000000"/>
          <w:sz w:val="16"/>
          <w:szCs w:val="16"/>
          <w:lang w:eastAsia="es-CL"/>
        </w:rPr>
        <w:t xml:space="preserve">orte de </w:t>
      </w:r>
      <w:r w:rsidR="008948EF">
        <w:rPr>
          <w:rFonts w:ascii="Times New Roman" w:hAnsi="Times New Roman"/>
          <w:color w:val="000000"/>
          <w:sz w:val="16"/>
          <w:szCs w:val="16"/>
          <w:lang w:eastAsia="es-CL"/>
        </w:rPr>
        <w:t>A</w:t>
      </w:r>
      <w:r w:rsidR="008948EF" w:rsidRPr="008948EF">
        <w:rPr>
          <w:rFonts w:ascii="Times New Roman" w:hAnsi="Times New Roman"/>
          <w:color w:val="000000"/>
          <w:sz w:val="16"/>
          <w:szCs w:val="16"/>
          <w:lang w:eastAsia="es-CL"/>
        </w:rPr>
        <w:t xml:space="preserve">pelaciones de </w:t>
      </w:r>
      <w:r w:rsidR="00471EA4">
        <w:rPr>
          <w:rFonts w:ascii="Times New Roman" w:hAnsi="Times New Roman"/>
          <w:color w:val="000000"/>
          <w:sz w:val="16"/>
          <w:szCs w:val="16"/>
          <w:lang w:eastAsia="es-CL"/>
        </w:rPr>
        <w:t>Santiago, confirmada</w:t>
      </w:r>
      <w:r w:rsidR="008948EF" w:rsidRPr="008948EF">
        <w:rPr>
          <w:rFonts w:ascii="Times New Roman" w:hAnsi="Times New Roman"/>
          <w:color w:val="000000"/>
          <w:sz w:val="16"/>
          <w:szCs w:val="16"/>
          <w:lang w:eastAsia="es-CL"/>
        </w:rPr>
        <w:t xml:space="preserve"> mediante sentencia de fecha 17 de octubre del año 2006 por la </w:t>
      </w:r>
      <w:r w:rsidR="008948EF">
        <w:rPr>
          <w:rFonts w:ascii="Times New Roman" w:hAnsi="Times New Roman"/>
          <w:color w:val="000000"/>
          <w:sz w:val="16"/>
          <w:szCs w:val="16"/>
          <w:lang w:eastAsia="es-CL"/>
        </w:rPr>
        <w:t>E</w:t>
      </w:r>
      <w:r w:rsidR="008948EF" w:rsidRPr="008948EF">
        <w:rPr>
          <w:rFonts w:ascii="Times New Roman" w:hAnsi="Times New Roman"/>
          <w:color w:val="000000"/>
          <w:sz w:val="16"/>
          <w:szCs w:val="16"/>
          <w:lang w:eastAsia="es-CL"/>
        </w:rPr>
        <w:t>xcelentísima corte suprema en causa rol nº 4.973-2006</w:t>
      </w:r>
      <w:r w:rsidR="008948EF">
        <w:rPr>
          <w:rFonts w:ascii="Times New Roman" w:hAnsi="Times New Roman"/>
          <w:color w:val="000000"/>
          <w:sz w:val="16"/>
          <w:szCs w:val="16"/>
          <w:lang w:eastAsia="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93872"/>
      <w:docPartObj>
        <w:docPartGallery w:val="Page Numbers (Top of Page)"/>
        <w:docPartUnique/>
      </w:docPartObj>
    </w:sdtPr>
    <w:sdtEndPr/>
    <w:sdtContent>
      <w:p w:rsidR="00F356C7" w:rsidRDefault="00F356C7">
        <w:pPr>
          <w:pStyle w:val="Encabezado"/>
        </w:pPr>
        <w:r>
          <w:fldChar w:fldCharType="begin"/>
        </w:r>
        <w:r>
          <w:instrText>PAGE   \* MERGEFORMAT</w:instrText>
        </w:r>
        <w:r>
          <w:fldChar w:fldCharType="separate"/>
        </w:r>
        <w:r w:rsidR="00062468" w:rsidRPr="00062468">
          <w:rPr>
            <w:noProof/>
            <w:lang w:val="es-ES"/>
          </w:rPr>
          <w:t>9</w:t>
        </w:r>
        <w:r>
          <w:fldChar w:fldCharType="end"/>
        </w:r>
      </w:p>
    </w:sdtContent>
  </w:sdt>
  <w:p w:rsidR="00990776" w:rsidRPr="001D5854" w:rsidRDefault="00990776" w:rsidP="009907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B7E39"/>
    <w:multiLevelType w:val="hybridMultilevel"/>
    <w:tmpl w:val="755824BE"/>
    <w:lvl w:ilvl="0" w:tplc="78A25140">
      <w:start w:val="1"/>
      <w:numFmt w:val="lowerLetter"/>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FF"/>
    <w:rsid w:val="00000A26"/>
    <w:rsid w:val="000063AA"/>
    <w:rsid w:val="00060C1C"/>
    <w:rsid w:val="00062468"/>
    <w:rsid w:val="00065639"/>
    <w:rsid w:val="00087204"/>
    <w:rsid w:val="000A25ED"/>
    <w:rsid w:val="000B7843"/>
    <w:rsid w:val="000D08FE"/>
    <w:rsid w:val="000E188C"/>
    <w:rsid w:val="00136ECB"/>
    <w:rsid w:val="0015643E"/>
    <w:rsid w:val="001565F3"/>
    <w:rsid w:val="0017767B"/>
    <w:rsid w:val="001A0C12"/>
    <w:rsid w:val="001A5EA5"/>
    <w:rsid w:val="001B1F52"/>
    <w:rsid w:val="001F0AC1"/>
    <w:rsid w:val="002545F3"/>
    <w:rsid w:val="002621B8"/>
    <w:rsid w:val="002655D7"/>
    <w:rsid w:val="00281798"/>
    <w:rsid w:val="002B3E44"/>
    <w:rsid w:val="002B5F88"/>
    <w:rsid w:val="002C134D"/>
    <w:rsid w:val="002C52B0"/>
    <w:rsid w:val="003070E7"/>
    <w:rsid w:val="00374A35"/>
    <w:rsid w:val="004056CF"/>
    <w:rsid w:val="00435AC6"/>
    <w:rsid w:val="00471EA4"/>
    <w:rsid w:val="004A127E"/>
    <w:rsid w:val="004C1FFC"/>
    <w:rsid w:val="004F28B3"/>
    <w:rsid w:val="00514962"/>
    <w:rsid w:val="00521179"/>
    <w:rsid w:val="00527D68"/>
    <w:rsid w:val="00556A64"/>
    <w:rsid w:val="00562404"/>
    <w:rsid w:val="00573DAB"/>
    <w:rsid w:val="0058479F"/>
    <w:rsid w:val="00596234"/>
    <w:rsid w:val="005B2EB9"/>
    <w:rsid w:val="005D7936"/>
    <w:rsid w:val="005E762E"/>
    <w:rsid w:val="006023CD"/>
    <w:rsid w:val="00637110"/>
    <w:rsid w:val="006404F6"/>
    <w:rsid w:val="00641B9B"/>
    <w:rsid w:val="00660451"/>
    <w:rsid w:val="00694632"/>
    <w:rsid w:val="006A290D"/>
    <w:rsid w:val="006B126B"/>
    <w:rsid w:val="006C31E6"/>
    <w:rsid w:val="007052EB"/>
    <w:rsid w:val="00724D3C"/>
    <w:rsid w:val="0079632A"/>
    <w:rsid w:val="007967B9"/>
    <w:rsid w:val="007971A5"/>
    <w:rsid w:val="0081600D"/>
    <w:rsid w:val="00841819"/>
    <w:rsid w:val="00860607"/>
    <w:rsid w:val="00876C68"/>
    <w:rsid w:val="008948EF"/>
    <w:rsid w:val="008A2898"/>
    <w:rsid w:val="008D3390"/>
    <w:rsid w:val="00925531"/>
    <w:rsid w:val="00926A1D"/>
    <w:rsid w:val="00932628"/>
    <w:rsid w:val="0094189E"/>
    <w:rsid w:val="00990776"/>
    <w:rsid w:val="0099410A"/>
    <w:rsid w:val="009E3AC7"/>
    <w:rsid w:val="00A122F2"/>
    <w:rsid w:val="00A46A2E"/>
    <w:rsid w:val="00A556A8"/>
    <w:rsid w:val="00A657FB"/>
    <w:rsid w:val="00A6746D"/>
    <w:rsid w:val="00A716CC"/>
    <w:rsid w:val="00AA1BEF"/>
    <w:rsid w:val="00AD1CFE"/>
    <w:rsid w:val="00B019ED"/>
    <w:rsid w:val="00B04520"/>
    <w:rsid w:val="00B31A42"/>
    <w:rsid w:val="00B37E8B"/>
    <w:rsid w:val="00B90748"/>
    <w:rsid w:val="00BA13E0"/>
    <w:rsid w:val="00BA1D2E"/>
    <w:rsid w:val="00BA38F7"/>
    <w:rsid w:val="00BD09DE"/>
    <w:rsid w:val="00BF2476"/>
    <w:rsid w:val="00BF351F"/>
    <w:rsid w:val="00C13FAB"/>
    <w:rsid w:val="00C21873"/>
    <w:rsid w:val="00C42C4C"/>
    <w:rsid w:val="00C82346"/>
    <w:rsid w:val="00CB0C42"/>
    <w:rsid w:val="00CC7F6E"/>
    <w:rsid w:val="00CD2734"/>
    <w:rsid w:val="00CE2887"/>
    <w:rsid w:val="00D031AA"/>
    <w:rsid w:val="00D37D19"/>
    <w:rsid w:val="00D41BFA"/>
    <w:rsid w:val="00D96C1B"/>
    <w:rsid w:val="00DB0A09"/>
    <w:rsid w:val="00DB408C"/>
    <w:rsid w:val="00DB7899"/>
    <w:rsid w:val="00DE3570"/>
    <w:rsid w:val="00E16BB5"/>
    <w:rsid w:val="00E354F0"/>
    <w:rsid w:val="00E6119A"/>
    <w:rsid w:val="00E757F8"/>
    <w:rsid w:val="00E83967"/>
    <w:rsid w:val="00EA7CC7"/>
    <w:rsid w:val="00F10376"/>
    <w:rsid w:val="00F1792F"/>
    <w:rsid w:val="00F356C7"/>
    <w:rsid w:val="00F45E06"/>
    <w:rsid w:val="00F46A07"/>
    <w:rsid w:val="00F5414D"/>
    <w:rsid w:val="00F709AA"/>
    <w:rsid w:val="00FB1808"/>
    <w:rsid w:val="00FB2CFF"/>
    <w:rsid w:val="00FB3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8CCF7-EDD9-45E2-B910-37936C40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FF"/>
    <w:pPr>
      <w:spacing w:after="0" w:line="240" w:lineRule="auto"/>
    </w:pPr>
    <w:rPr>
      <w:rFonts w:ascii="Times" w:eastAsia="Times New Roman" w:hAnsi="Times" w:cs="Times New Roman"/>
      <w:sz w:val="24"/>
      <w:szCs w:val="20"/>
      <w:lang w:val="es-ES_tradnl"/>
    </w:rPr>
  </w:style>
  <w:style w:type="paragraph" w:styleId="Ttulo1">
    <w:name w:val="heading 1"/>
    <w:basedOn w:val="Normal"/>
    <w:next w:val="Textoindependiente"/>
    <w:link w:val="Ttulo1Car"/>
    <w:qFormat/>
    <w:rsid w:val="00FB2CFF"/>
    <w:pPr>
      <w:spacing w:line="480" w:lineRule="auto"/>
      <w:jc w:val="center"/>
      <w:outlineLvl w:val="0"/>
    </w:pPr>
    <w:rPr>
      <w:rFonts w:ascii="Times New Roman" w:hAnsi="Times New Roman"/>
    </w:rPr>
  </w:style>
  <w:style w:type="paragraph" w:styleId="Ttulo2">
    <w:name w:val="heading 2"/>
    <w:basedOn w:val="Normal"/>
    <w:next w:val="Normal"/>
    <w:link w:val="Ttulo2Car"/>
    <w:qFormat/>
    <w:rsid w:val="00FB2CFF"/>
    <w:pPr>
      <w:spacing w:line="480" w:lineRule="auto"/>
      <w:outlineLvl w:val="1"/>
    </w:pPr>
    <w:rPr>
      <w:rFonts w:ascii="Times New Roman" w:hAnsi="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2CFF"/>
    <w:rPr>
      <w:rFonts w:ascii="Times New Roman" w:eastAsia="Times New Roman" w:hAnsi="Times New Roman" w:cs="Times New Roman"/>
      <w:sz w:val="24"/>
      <w:szCs w:val="20"/>
      <w:lang w:val="es-ES_tradnl"/>
    </w:rPr>
  </w:style>
  <w:style w:type="character" w:customStyle="1" w:styleId="Ttulo2Car">
    <w:name w:val="Título 2 Car"/>
    <w:basedOn w:val="Fuentedeprrafopredeter"/>
    <w:link w:val="Ttulo2"/>
    <w:rsid w:val="00FB2CFF"/>
    <w:rPr>
      <w:rFonts w:ascii="Times New Roman" w:eastAsia="Times New Roman" w:hAnsi="Times New Roman" w:cs="Times New Roman"/>
      <w:i/>
      <w:sz w:val="24"/>
      <w:szCs w:val="20"/>
      <w:lang w:val="es-ES_tradnl"/>
    </w:rPr>
  </w:style>
  <w:style w:type="paragraph" w:styleId="Textoindependiente">
    <w:name w:val="Body Text"/>
    <w:basedOn w:val="Normal"/>
    <w:link w:val="TextoindependienteCar"/>
    <w:rsid w:val="00FB2CFF"/>
    <w:pPr>
      <w:spacing w:line="480" w:lineRule="auto"/>
      <w:ind w:firstLine="540"/>
    </w:pPr>
    <w:rPr>
      <w:rFonts w:ascii="Times New Roman" w:hAnsi="Times New Roman"/>
    </w:rPr>
  </w:style>
  <w:style w:type="character" w:customStyle="1" w:styleId="TextoindependienteCar">
    <w:name w:val="Texto independiente Car"/>
    <w:basedOn w:val="Fuentedeprrafopredeter"/>
    <w:link w:val="Textoindependiente"/>
    <w:rsid w:val="00FB2CFF"/>
    <w:rPr>
      <w:rFonts w:ascii="Times New Roman" w:eastAsia="Times New Roman" w:hAnsi="Times New Roman" w:cs="Times New Roman"/>
      <w:sz w:val="24"/>
      <w:szCs w:val="20"/>
      <w:lang w:val="es-ES_tradnl"/>
    </w:rPr>
  </w:style>
  <w:style w:type="paragraph" w:styleId="Encabezado">
    <w:name w:val="header"/>
    <w:basedOn w:val="Normal"/>
    <w:link w:val="EncabezadoCar"/>
    <w:uiPriority w:val="99"/>
    <w:rsid w:val="00FB2CFF"/>
    <w:pPr>
      <w:tabs>
        <w:tab w:val="center" w:pos="4320"/>
        <w:tab w:val="right" w:pos="8640"/>
      </w:tabs>
    </w:pPr>
    <w:rPr>
      <w:rFonts w:ascii="Times New Roman" w:hAnsi="Times New Roman"/>
    </w:rPr>
  </w:style>
  <w:style w:type="character" w:customStyle="1" w:styleId="EncabezadoCar">
    <w:name w:val="Encabezado Car"/>
    <w:basedOn w:val="Fuentedeprrafopredeter"/>
    <w:link w:val="Encabezado"/>
    <w:uiPriority w:val="99"/>
    <w:rsid w:val="00FB2CFF"/>
    <w:rPr>
      <w:rFonts w:ascii="Times New Roman" w:eastAsia="Times New Roman" w:hAnsi="Times New Roman" w:cs="Times New Roman"/>
      <w:sz w:val="24"/>
      <w:szCs w:val="20"/>
      <w:lang w:val="es-ES_tradnl"/>
    </w:rPr>
  </w:style>
  <w:style w:type="character" w:styleId="Nmerodepgina">
    <w:name w:val="page number"/>
    <w:basedOn w:val="Fuentedeprrafopredeter"/>
    <w:rsid w:val="00FB2CFF"/>
  </w:style>
  <w:style w:type="paragraph" w:customStyle="1" w:styleId="Numberedlist">
    <w:name w:val="Numbered list"/>
    <w:basedOn w:val="Normal"/>
    <w:rsid w:val="00FB2CFF"/>
    <w:pPr>
      <w:numPr>
        <w:numId w:val="1"/>
      </w:numPr>
      <w:spacing w:line="480" w:lineRule="auto"/>
    </w:pPr>
    <w:rPr>
      <w:rFonts w:ascii="Times New Roman" w:hAnsi="Times New Roman"/>
    </w:rPr>
  </w:style>
  <w:style w:type="paragraph" w:styleId="Textodebloque">
    <w:name w:val="Block Text"/>
    <w:basedOn w:val="Textoindependiente"/>
    <w:link w:val="TextodebloqueCar"/>
    <w:rsid w:val="00FB2CFF"/>
    <w:pPr>
      <w:ind w:firstLine="0"/>
    </w:pPr>
  </w:style>
  <w:style w:type="character" w:customStyle="1" w:styleId="TextodebloqueCar">
    <w:name w:val="Texto de bloque Car"/>
    <w:basedOn w:val="TextoindependienteCar"/>
    <w:link w:val="Textodebloque"/>
    <w:rsid w:val="00FB2CFF"/>
    <w:rPr>
      <w:rFonts w:ascii="Times New Roman" w:eastAsia="Times New Roman" w:hAnsi="Times New Roman" w:cs="Times New Roman"/>
      <w:sz w:val="24"/>
      <w:szCs w:val="20"/>
      <w:lang w:val="es-ES_tradnl"/>
    </w:rPr>
  </w:style>
  <w:style w:type="paragraph" w:customStyle="1" w:styleId="Reference">
    <w:name w:val="Reference"/>
    <w:basedOn w:val="Textoindependiente"/>
    <w:rsid w:val="00FB2CFF"/>
    <w:pPr>
      <w:ind w:left="547" w:hanging="547"/>
    </w:pPr>
  </w:style>
  <w:style w:type="character" w:customStyle="1" w:styleId="hps">
    <w:name w:val="hps"/>
    <w:rsid w:val="00FB2CFF"/>
  </w:style>
  <w:style w:type="character" w:customStyle="1" w:styleId="apple-converted-space">
    <w:name w:val="apple-converted-space"/>
    <w:basedOn w:val="Fuentedeprrafopredeter"/>
    <w:rsid w:val="00932628"/>
  </w:style>
  <w:style w:type="paragraph" w:styleId="NormalWeb">
    <w:name w:val="Normal (Web)"/>
    <w:basedOn w:val="Normal"/>
    <w:uiPriority w:val="99"/>
    <w:unhideWhenUsed/>
    <w:rsid w:val="00087204"/>
    <w:pPr>
      <w:spacing w:before="100" w:beforeAutospacing="1" w:after="100" w:afterAutospacing="1"/>
    </w:pPr>
    <w:rPr>
      <w:rFonts w:ascii="Times New Roman" w:hAnsi="Times New Roman"/>
      <w:szCs w:val="24"/>
      <w:lang w:val="es-CL" w:eastAsia="es-CL"/>
    </w:rPr>
  </w:style>
  <w:style w:type="character" w:styleId="Textoennegrita">
    <w:name w:val="Strong"/>
    <w:basedOn w:val="Fuentedeprrafopredeter"/>
    <w:uiPriority w:val="22"/>
    <w:qFormat/>
    <w:rsid w:val="00087204"/>
    <w:rPr>
      <w:b/>
      <w:bCs/>
    </w:rPr>
  </w:style>
  <w:style w:type="paragraph" w:styleId="Piedepgina">
    <w:name w:val="footer"/>
    <w:basedOn w:val="Normal"/>
    <w:link w:val="PiedepginaCar"/>
    <w:uiPriority w:val="99"/>
    <w:unhideWhenUsed/>
    <w:rsid w:val="00065639"/>
    <w:pPr>
      <w:tabs>
        <w:tab w:val="center" w:pos="4419"/>
        <w:tab w:val="right" w:pos="8838"/>
      </w:tabs>
    </w:pPr>
  </w:style>
  <w:style w:type="character" w:customStyle="1" w:styleId="PiedepginaCar">
    <w:name w:val="Pie de página Car"/>
    <w:basedOn w:val="Fuentedeprrafopredeter"/>
    <w:link w:val="Piedepgina"/>
    <w:uiPriority w:val="99"/>
    <w:rsid w:val="00065639"/>
    <w:rPr>
      <w:rFonts w:ascii="Times" w:eastAsia="Times New Roman" w:hAnsi="Times" w:cs="Times New Roman"/>
      <w:sz w:val="24"/>
      <w:szCs w:val="20"/>
      <w:lang w:val="es-ES_tradnl"/>
    </w:rPr>
  </w:style>
  <w:style w:type="paragraph" w:styleId="Textonotapie">
    <w:name w:val="footnote text"/>
    <w:basedOn w:val="Normal"/>
    <w:link w:val="TextonotapieCar"/>
    <w:uiPriority w:val="99"/>
    <w:semiHidden/>
    <w:unhideWhenUsed/>
    <w:rsid w:val="000063AA"/>
    <w:rPr>
      <w:sz w:val="20"/>
    </w:rPr>
  </w:style>
  <w:style w:type="character" w:customStyle="1" w:styleId="TextonotapieCar">
    <w:name w:val="Texto nota pie Car"/>
    <w:basedOn w:val="Fuentedeprrafopredeter"/>
    <w:link w:val="Textonotapie"/>
    <w:uiPriority w:val="99"/>
    <w:semiHidden/>
    <w:rsid w:val="000063AA"/>
    <w:rPr>
      <w:rFonts w:ascii="Times" w:eastAsia="Times New Roman" w:hAnsi="Times" w:cs="Times New Roman"/>
      <w:sz w:val="20"/>
      <w:szCs w:val="20"/>
      <w:lang w:val="es-ES_tradnl"/>
    </w:rPr>
  </w:style>
  <w:style w:type="character" w:styleId="Refdenotaalpie">
    <w:name w:val="footnote reference"/>
    <w:basedOn w:val="Fuentedeprrafopredeter"/>
    <w:uiPriority w:val="99"/>
    <w:semiHidden/>
    <w:unhideWhenUsed/>
    <w:rsid w:val="000063AA"/>
    <w:rPr>
      <w:vertAlign w:val="superscript"/>
    </w:rPr>
  </w:style>
  <w:style w:type="paragraph" w:styleId="HTMLconformatoprevio">
    <w:name w:val="HTML Preformatted"/>
    <w:basedOn w:val="Normal"/>
    <w:link w:val="HTMLconformatoprevioCar"/>
    <w:uiPriority w:val="99"/>
    <w:semiHidden/>
    <w:unhideWhenUsed/>
    <w:rsid w:val="0057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CL" w:eastAsia="es-CL"/>
    </w:rPr>
  </w:style>
  <w:style w:type="character" w:customStyle="1" w:styleId="HTMLconformatoprevioCar">
    <w:name w:val="HTML con formato previo Car"/>
    <w:basedOn w:val="Fuentedeprrafopredeter"/>
    <w:link w:val="HTMLconformatoprevio"/>
    <w:uiPriority w:val="99"/>
    <w:semiHidden/>
    <w:rsid w:val="00573DAB"/>
    <w:rPr>
      <w:rFonts w:ascii="Courier New" w:eastAsia="Times New Roman" w:hAnsi="Courier New" w:cs="Courier New"/>
      <w:sz w:val="20"/>
      <w:szCs w:val="20"/>
      <w:lang w:val="es-CL" w:eastAsia="es-CL"/>
    </w:rPr>
  </w:style>
  <w:style w:type="character" w:styleId="Hipervnculo">
    <w:name w:val="Hyperlink"/>
    <w:basedOn w:val="Fuentedeprrafopredeter"/>
    <w:uiPriority w:val="99"/>
    <w:unhideWhenUsed/>
    <w:rsid w:val="00894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30662">
      <w:bodyDiv w:val="1"/>
      <w:marLeft w:val="0"/>
      <w:marRight w:val="0"/>
      <w:marTop w:val="0"/>
      <w:marBottom w:val="0"/>
      <w:divBdr>
        <w:top w:val="none" w:sz="0" w:space="0" w:color="auto"/>
        <w:left w:val="none" w:sz="0" w:space="0" w:color="auto"/>
        <w:bottom w:val="none" w:sz="0" w:space="0" w:color="auto"/>
        <w:right w:val="none" w:sz="0" w:space="0" w:color="auto"/>
      </w:divBdr>
    </w:div>
    <w:div w:id="19141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traloria.cl/legisjuri/dictamenesgeneralesmunicipales.nsf/framesetconsultawebanonima?openframeset" TargetMode="External"/><Relationship Id="rId1" Type="http://schemas.openxmlformats.org/officeDocument/2006/relationships/hyperlink" Target="http://www.contraloria.cl/legisjuri/dictamenesgeneralesmunicipales.nsf/framesetconsultawebanonima?openframes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44D6-7BEB-475B-A89C-AF17B6E6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3552</Words>
  <Characters>19540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 Galliani</dc:creator>
  <cp:lastModifiedBy>claudio morales borquez</cp:lastModifiedBy>
  <cp:revision>10</cp:revision>
  <dcterms:created xsi:type="dcterms:W3CDTF">2016-06-20T16:45:00Z</dcterms:created>
  <dcterms:modified xsi:type="dcterms:W3CDTF">2020-03-29T19:39:00Z</dcterms:modified>
</cp:coreProperties>
</file>